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E8A" w:rsidRPr="00AC2C33" w:rsidRDefault="00B94E8A" w:rsidP="00B715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C33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BF7903" w:rsidRPr="000828B0" w:rsidRDefault="00BF7903" w:rsidP="00B715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E8A" w:rsidRDefault="00B94E8A" w:rsidP="00B715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C3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B94E8A" w:rsidRPr="00AC2C33" w:rsidRDefault="00B94E8A" w:rsidP="00B715E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C2C33">
        <w:rPr>
          <w:rFonts w:ascii="Times New Roman" w:hAnsi="Times New Roman" w:cs="Times New Roman"/>
          <w:b/>
          <w:i/>
          <w:iCs/>
          <w:sz w:val="24"/>
          <w:szCs w:val="24"/>
        </w:rPr>
        <w:t>Общие положения</w:t>
      </w:r>
    </w:p>
    <w:p w:rsidR="003D0081" w:rsidRPr="003D0081" w:rsidRDefault="003D0081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Предметом закупки</w:t>
      </w:r>
      <w:r w:rsidR="00B94E8A" w:rsidRPr="00AC2C33">
        <w:rPr>
          <w:rFonts w:ascii="Times New Roman" w:eastAsia="Times New Roman" w:hAnsi="Times New Roman"/>
          <w:sz w:val="24"/>
          <w:szCs w:val="24"/>
          <w:u w:val="single"/>
        </w:rPr>
        <w:t>:</w:t>
      </w:r>
      <w:r w:rsidRPr="003D0081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Hlk191296808"/>
      <w:r w:rsidRPr="003D0081">
        <w:rPr>
          <w:rFonts w:ascii="Times New Roman" w:eastAsia="Times New Roman" w:hAnsi="Times New Roman"/>
          <w:sz w:val="24"/>
          <w:szCs w:val="24"/>
        </w:rPr>
        <w:t>«</w:t>
      </w:r>
      <w:r w:rsidR="0021487B" w:rsidRPr="0021487B">
        <w:rPr>
          <w:rFonts w:ascii="Times New Roman" w:hAnsi="Times New Roman" w:cs="Times New Roman"/>
          <w:bCs/>
          <w:sz w:val="24"/>
          <w:szCs w:val="24"/>
        </w:rPr>
        <w:t>Оказание услуг по проведению экспертизы промышленной безопасности (ЭПБ) подъемных агрегатов УПА 60/80, бурового оборудования и изготовления паспортов в 2026-2028гг.</w:t>
      </w:r>
      <w:r w:rsidRPr="003D0081">
        <w:rPr>
          <w:rFonts w:ascii="Times New Roman" w:hAnsi="Times New Roman" w:cs="Times New Roman"/>
          <w:bCs/>
          <w:sz w:val="24"/>
          <w:szCs w:val="24"/>
        </w:rPr>
        <w:t>»</w:t>
      </w:r>
      <w:r w:rsidR="002363EB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</w:p>
    <w:p w:rsidR="00B94E8A" w:rsidRPr="00AC2C33" w:rsidRDefault="00B94E8A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C2C33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AC2C33">
        <w:rPr>
          <w:rFonts w:ascii="Times New Roman" w:eastAsia="Times New Roman" w:hAnsi="Times New Roman"/>
          <w:sz w:val="24"/>
          <w:szCs w:val="24"/>
        </w:rPr>
        <w:t xml:space="preserve">: Общество с ограниченной ответственностью «Байкитская нефтегазоразведочная экспедиция» </w:t>
      </w:r>
      <w:r>
        <w:rPr>
          <w:rFonts w:ascii="Times New Roman" w:eastAsia="Times New Roman" w:hAnsi="Times New Roman"/>
          <w:sz w:val="24"/>
          <w:szCs w:val="24"/>
        </w:rPr>
        <w:t>(Сокращенно - ООО «БНГРЭ»), ОГМ.</w:t>
      </w:r>
    </w:p>
    <w:p w:rsidR="00B94E8A" w:rsidRPr="00AC2C33" w:rsidRDefault="00662B00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Плановые </w:t>
      </w:r>
      <w:r w:rsidR="00B94E8A" w:rsidRPr="00AC2C33">
        <w:rPr>
          <w:rFonts w:ascii="Times New Roman" w:eastAsia="Times New Roman" w:hAnsi="Times New Roman"/>
          <w:sz w:val="24"/>
          <w:szCs w:val="24"/>
          <w:u w:val="single"/>
        </w:rPr>
        <w:t xml:space="preserve">сроки </w:t>
      </w:r>
      <w:r w:rsidR="00261F2F">
        <w:rPr>
          <w:rFonts w:ascii="Times New Roman" w:eastAsia="Times New Roman" w:hAnsi="Times New Roman"/>
          <w:sz w:val="24"/>
          <w:szCs w:val="24"/>
          <w:u w:val="single"/>
        </w:rPr>
        <w:t xml:space="preserve">(период) </w:t>
      </w:r>
      <w:r w:rsidR="00B94E8A" w:rsidRPr="00AC2C33">
        <w:rPr>
          <w:rFonts w:ascii="Times New Roman" w:eastAsia="Times New Roman" w:hAnsi="Times New Roman"/>
          <w:sz w:val="24"/>
          <w:szCs w:val="24"/>
          <w:u w:val="single"/>
        </w:rPr>
        <w:t>оказания услуг</w:t>
      </w:r>
      <w:r w:rsidR="00B94E8A" w:rsidRPr="00AC2C33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B94E8A" w:rsidRPr="00662B00" w:rsidRDefault="00662B00" w:rsidP="00B715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Лот №1 - </w:t>
      </w:r>
      <w:r w:rsidR="00BE7FBF">
        <w:rPr>
          <w:rFonts w:ascii="Times New Roman" w:eastAsia="Times New Roman" w:hAnsi="Times New Roman"/>
          <w:sz w:val="24"/>
          <w:szCs w:val="24"/>
        </w:rPr>
        <w:t>январь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202</w:t>
      </w:r>
      <w:r w:rsidR="00BE7FBF">
        <w:rPr>
          <w:rFonts w:ascii="Times New Roman" w:eastAsia="Times New Roman" w:hAnsi="Times New Roman"/>
          <w:sz w:val="24"/>
          <w:szCs w:val="24"/>
        </w:rPr>
        <w:t>6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г. </w:t>
      </w: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FB0B03">
        <w:rPr>
          <w:rFonts w:ascii="Times New Roman" w:eastAsia="Times New Roman" w:hAnsi="Times New Roman"/>
          <w:sz w:val="24"/>
          <w:szCs w:val="24"/>
        </w:rPr>
        <w:t>декабрь 202</w:t>
      </w:r>
      <w:r w:rsidR="00BE7FBF">
        <w:rPr>
          <w:rFonts w:ascii="Times New Roman" w:eastAsia="Times New Roman" w:hAnsi="Times New Roman"/>
          <w:sz w:val="24"/>
          <w:szCs w:val="24"/>
        </w:rPr>
        <w:t>8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2635E8" w:rsidRPr="00CB27C9" w:rsidRDefault="00B94E8A" w:rsidP="00CB27C9">
      <w:pPr>
        <w:pStyle w:val="a3"/>
        <w:widowControl w:val="0"/>
        <w:numPr>
          <w:ilvl w:val="1"/>
          <w:numId w:val="19"/>
        </w:numPr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B27C9">
        <w:rPr>
          <w:rFonts w:ascii="Times New Roman" w:eastAsia="Times New Roman" w:hAnsi="Times New Roman"/>
          <w:sz w:val="24"/>
          <w:szCs w:val="24"/>
          <w:u w:val="single"/>
        </w:rPr>
        <w:t>Место оказания услуг</w:t>
      </w:r>
      <w:r w:rsidRPr="00CB27C9">
        <w:rPr>
          <w:rFonts w:ascii="Times New Roman" w:eastAsia="Times New Roman" w:hAnsi="Times New Roman"/>
          <w:sz w:val="24"/>
          <w:szCs w:val="24"/>
        </w:rPr>
        <w:t xml:space="preserve">: </w:t>
      </w:r>
      <w:r w:rsidR="003D0081" w:rsidRPr="00CB27C9">
        <w:rPr>
          <w:rFonts w:ascii="Times New Roman" w:eastAsia="Times New Roman" w:hAnsi="Times New Roman"/>
          <w:sz w:val="24"/>
          <w:szCs w:val="24"/>
        </w:rPr>
        <w:t xml:space="preserve">Лот №1  </w:t>
      </w:r>
    </w:p>
    <w:p w:rsidR="002635E8" w:rsidRDefault="00BD510D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eastAsia="Times New Roman" w:hAnsi="Times New Roman"/>
          <w:sz w:val="24"/>
          <w:szCs w:val="24"/>
        </w:rPr>
      </w:pPr>
      <w:r w:rsidRPr="00DB1397">
        <w:rPr>
          <w:rFonts w:ascii="Times New Roman" w:eastAsia="Times New Roman" w:hAnsi="Times New Roman"/>
          <w:sz w:val="24"/>
          <w:szCs w:val="24"/>
        </w:rPr>
        <w:t>Красноярский край</w:t>
      </w:r>
      <w:r w:rsidR="007E4DDF" w:rsidRPr="00DB1397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B1397">
        <w:rPr>
          <w:rFonts w:ascii="Times New Roman" w:eastAsia="Times New Roman" w:hAnsi="Times New Roman"/>
          <w:sz w:val="24"/>
          <w:szCs w:val="24"/>
        </w:rPr>
        <w:t>Эвенкийский му</w:t>
      </w:r>
      <w:r w:rsidR="002324C8">
        <w:rPr>
          <w:rFonts w:ascii="Times New Roman" w:eastAsia="Times New Roman" w:hAnsi="Times New Roman"/>
          <w:sz w:val="24"/>
          <w:szCs w:val="24"/>
        </w:rPr>
        <w:t xml:space="preserve">ниципальный район </w:t>
      </w:r>
    </w:p>
    <w:p w:rsidR="002635E8" w:rsidRDefault="002324C8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Куюмбинский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="002635E8">
        <w:rPr>
          <w:rFonts w:ascii="Times New Roman" w:eastAsia="Times New Roman" w:hAnsi="Times New Roman"/>
          <w:sz w:val="24"/>
          <w:szCs w:val="24"/>
        </w:rPr>
        <w:t>лицензионный участок;</w:t>
      </w:r>
    </w:p>
    <w:p w:rsidR="0021487B" w:rsidRDefault="002635E8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="002324C8">
        <w:rPr>
          <w:rFonts w:ascii="Times New Roman" w:eastAsia="Times New Roman" w:hAnsi="Times New Roman"/>
          <w:sz w:val="24"/>
          <w:szCs w:val="24"/>
        </w:rPr>
        <w:t>Терско-Камовский</w:t>
      </w:r>
      <w:proofErr w:type="spellEnd"/>
      <w:r w:rsidR="002324C8">
        <w:rPr>
          <w:rFonts w:ascii="Times New Roman" w:eastAsia="Times New Roman" w:hAnsi="Times New Roman"/>
          <w:sz w:val="24"/>
          <w:szCs w:val="24"/>
        </w:rPr>
        <w:t xml:space="preserve"> </w:t>
      </w:r>
      <w:r w:rsidR="002324C8" w:rsidRPr="00DB1397">
        <w:rPr>
          <w:rFonts w:ascii="Times New Roman" w:eastAsia="Times New Roman" w:hAnsi="Times New Roman"/>
          <w:sz w:val="24"/>
          <w:szCs w:val="24"/>
        </w:rPr>
        <w:t>лицензионный участок</w:t>
      </w:r>
      <w:bookmarkStart w:id="1" w:name="_Hlk176507749"/>
      <w:r w:rsidR="00BD68DD"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BD68DD" w:rsidRPr="00BD68DD" w:rsidRDefault="00BD68DD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>Красноярский край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 xml:space="preserve"> Туруханский муниципальный район</w:t>
      </w:r>
    </w:p>
    <w:p w:rsidR="00BD68DD" w:rsidRPr="00BD68DD" w:rsidRDefault="00BD68DD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>- Восточно-</w:t>
      </w:r>
      <w:proofErr w:type="spellStart"/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>Ванкорский</w:t>
      </w:r>
      <w:proofErr w:type="spellEnd"/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 xml:space="preserve"> ЛУ;</w:t>
      </w:r>
    </w:p>
    <w:p w:rsidR="00BD68DD" w:rsidRDefault="00BD68DD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>- Восточно-</w:t>
      </w:r>
      <w:proofErr w:type="spellStart"/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>Тагульский</w:t>
      </w:r>
      <w:proofErr w:type="spellEnd"/>
      <w:r w:rsidRPr="00BD68DD">
        <w:rPr>
          <w:rFonts w:ascii="Times New Roman" w:eastAsia="Times New Roman" w:hAnsi="Times New Roman" w:cs="Times New Roman"/>
          <w:bCs/>
          <w:sz w:val="24"/>
          <w:szCs w:val="24"/>
        </w:rPr>
        <w:t xml:space="preserve"> ЛУ</w:t>
      </w:r>
      <w:r w:rsidR="004110D6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4110D6" w:rsidRDefault="004110D6" w:rsidP="002635E8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Ванкорском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ЛУ.</w:t>
      </w:r>
    </w:p>
    <w:p w:rsidR="00BD68DD" w:rsidRPr="00BD68DD" w:rsidRDefault="00BD68DD" w:rsidP="00BD68DD">
      <w:pPr>
        <w:widowControl w:val="0"/>
        <w:shd w:val="clear" w:color="auto" w:fill="FFFFFF"/>
        <w:tabs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bookmarkEnd w:id="1"/>
    <w:p w:rsidR="00B94E8A" w:rsidRDefault="00B94E8A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C2C33">
        <w:rPr>
          <w:rFonts w:ascii="Times New Roman" w:eastAsia="Times New Roman" w:hAnsi="Times New Roman"/>
          <w:sz w:val="24"/>
          <w:szCs w:val="24"/>
          <w:u w:val="single"/>
        </w:rPr>
        <w:t>Планируемый объем услуг</w:t>
      </w:r>
      <w:r w:rsidRPr="00AC2C33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3D0081" w:rsidRDefault="003D0081" w:rsidP="00B71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4903" w:type="pct"/>
        <w:tblInd w:w="108" w:type="dxa"/>
        <w:tblLook w:val="04A0" w:firstRow="1" w:lastRow="0" w:firstColumn="1" w:lastColumn="0" w:noHBand="0" w:noVBand="1"/>
      </w:tblPr>
      <w:tblGrid>
        <w:gridCol w:w="503"/>
        <w:gridCol w:w="4436"/>
        <w:gridCol w:w="975"/>
        <w:gridCol w:w="1315"/>
        <w:gridCol w:w="1181"/>
        <w:gridCol w:w="911"/>
        <w:gridCol w:w="1154"/>
      </w:tblGrid>
      <w:tr w:rsidR="00E04A81" w:rsidRPr="00E04A81" w:rsidTr="00E04A81">
        <w:trPr>
          <w:trHeight w:val="92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2" w:name="_Hlk175745300"/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услуг, без использования сокращений</w:t>
            </w:r>
          </w:p>
        </w:tc>
        <w:tc>
          <w:tcPr>
            <w:tcW w:w="47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услуг 2026 г.</w:t>
            </w:r>
          </w:p>
        </w:tc>
        <w:tc>
          <w:tcPr>
            <w:tcW w:w="44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услуг 2027 г.</w:t>
            </w:r>
          </w:p>
        </w:tc>
        <w:tc>
          <w:tcPr>
            <w:tcW w:w="56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услуг 2028 г.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Ключ машинный буровой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Лебедка вспомогательная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Агрегат подъемный УПА 60-80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Ключ гидравлический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Устройство эвакуации верхового рабочего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Кронблок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6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27029A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Крюкоблок</w:t>
            </w:r>
            <w:proofErr w:type="spellEnd"/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Ротор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6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27029A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E04A81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Таль ручная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A81" w:rsidRPr="00E04A81" w:rsidRDefault="00E04A81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4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914582" w:rsidRPr="00E04A81" w:rsidTr="00E04A81">
        <w:trPr>
          <w:trHeight w:val="28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582" w:rsidRPr="00E04A81" w:rsidRDefault="00914582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582" w:rsidRPr="00E04A81" w:rsidRDefault="00914582" w:rsidP="00E04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Изготовление паспорта на НБО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582" w:rsidRPr="00E04A81" w:rsidRDefault="00914582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582" w:rsidRPr="00E04A81" w:rsidRDefault="00914582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82" w:rsidRPr="00E04A81" w:rsidRDefault="00914582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82" w:rsidRPr="00E04A81" w:rsidRDefault="00914582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582" w:rsidRPr="00E04A81" w:rsidRDefault="00914582" w:rsidP="00E0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2"/>
    </w:tbl>
    <w:p w:rsidR="003D0081" w:rsidRPr="003D0081" w:rsidRDefault="003D0081" w:rsidP="00B715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1B8F" w:rsidRDefault="00B94E8A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1B8F">
        <w:rPr>
          <w:rFonts w:ascii="Times New Roman" w:eastAsia="Times New Roman" w:hAnsi="Times New Roman"/>
          <w:sz w:val="24"/>
          <w:szCs w:val="24"/>
        </w:rPr>
        <w:t>Заявленная стоимость услуг</w:t>
      </w:r>
      <w:r w:rsidR="00AA1B8F">
        <w:rPr>
          <w:rFonts w:ascii="Times New Roman" w:eastAsia="Times New Roman" w:hAnsi="Times New Roman"/>
          <w:sz w:val="24"/>
          <w:szCs w:val="24"/>
        </w:rPr>
        <w:t xml:space="preserve"> по Лоту №1</w:t>
      </w:r>
      <w:r w:rsidRPr="00AC2C33">
        <w:rPr>
          <w:rFonts w:ascii="Times New Roman" w:eastAsia="Times New Roman" w:hAnsi="Times New Roman"/>
          <w:sz w:val="24"/>
          <w:szCs w:val="24"/>
        </w:rPr>
        <w:t xml:space="preserve"> должна включать в себя все затраты, необходимые для выполнения планируемого объема услуг, включая затраты на мобилизацию и демобилизацию Подрядчика до места сбора</w:t>
      </w:r>
      <w:r w:rsidRPr="00AC2C33">
        <w:rPr>
          <w:rFonts w:ascii="Times New Roman" w:hAnsi="Times New Roman"/>
          <w:sz w:val="24"/>
          <w:szCs w:val="24"/>
        </w:rPr>
        <w:t xml:space="preserve"> (г. Красноярск</w:t>
      </w:r>
      <w:r>
        <w:rPr>
          <w:rFonts w:ascii="Times New Roman" w:hAnsi="Times New Roman"/>
          <w:sz w:val="24"/>
          <w:szCs w:val="24"/>
        </w:rPr>
        <w:t xml:space="preserve"> или п. </w:t>
      </w:r>
      <w:proofErr w:type="spellStart"/>
      <w:r>
        <w:rPr>
          <w:rFonts w:ascii="Times New Roman" w:hAnsi="Times New Roman"/>
          <w:sz w:val="24"/>
          <w:szCs w:val="24"/>
        </w:rPr>
        <w:t>Богучаны</w:t>
      </w:r>
      <w:proofErr w:type="spellEnd"/>
      <w:r w:rsidRPr="00AC2C33">
        <w:rPr>
          <w:rFonts w:ascii="Times New Roman" w:hAnsi="Times New Roman"/>
          <w:sz w:val="24"/>
          <w:szCs w:val="24"/>
        </w:rPr>
        <w:t>).</w:t>
      </w:r>
    </w:p>
    <w:p w:rsidR="00AA1B8F" w:rsidRPr="00AA1B8F" w:rsidRDefault="00F06E03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являе</w:t>
      </w:r>
      <w:r w:rsidR="002324C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неделимыми, п</w:t>
      </w:r>
      <w:r w:rsidR="00AA1B8F" w:rsidRPr="00AA1B8F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AA1B8F" w:rsidRPr="00AA1B8F" w:rsidRDefault="00AA1B8F" w:rsidP="00B715E3">
      <w:pPr>
        <w:pStyle w:val="a3"/>
        <w:numPr>
          <w:ilvl w:val="1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1B8F">
        <w:rPr>
          <w:rFonts w:ascii="Times New Roman" w:hAnsi="Times New Roman"/>
          <w:sz w:val="24"/>
          <w:szCs w:val="24"/>
        </w:rPr>
        <w:t xml:space="preserve">Общество оставляет за собой право изменять общее количество </w:t>
      </w:r>
      <w:r w:rsidR="002324C8">
        <w:rPr>
          <w:rFonts w:ascii="Times New Roman" w:hAnsi="Times New Roman"/>
          <w:sz w:val="24"/>
          <w:szCs w:val="24"/>
        </w:rPr>
        <w:t>оказываемых услуг</w:t>
      </w:r>
      <w:r w:rsidRPr="00AA1B8F">
        <w:rPr>
          <w:rFonts w:ascii="Times New Roman" w:hAnsi="Times New Roman"/>
          <w:sz w:val="24"/>
          <w:szCs w:val="24"/>
        </w:rPr>
        <w:t xml:space="preserve"> в пределах ±100% согласованного в договоре опциона.</w:t>
      </w:r>
    </w:p>
    <w:p w:rsidR="00AA1B8F" w:rsidRPr="00AC2C33" w:rsidRDefault="00AA1B8F" w:rsidP="00B715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</w:t>
      </w:r>
      <w:r w:rsidR="00F06E03">
        <w:rPr>
          <w:rFonts w:ascii="Times New Roman" w:hAnsi="Times New Roman"/>
          <w:sz w:val="24"/>
          <w:szCs w:val="24"/>
        </w:rPr>
        <w:t xml:space="preserve">ить количество оказываемых услуг </w:t>
      </w:r>
      <w:r w:rsidRPr="000B7A50">
        <w:rPr>
          <w:rFonts w:ascii="Times New Roman" w:hAnsi="Times New Roman"/>
          <w:sz w:val="24"/>
          <w:szCs w:val="24"/>
        </w:rPr>
        <w:t xml:space="preserve">в пределах согласованного количества без изменения цен на </w:t>
      </w:r>
      <w:r w:rsidR="00F06E03">
        <w:rPr>
          <w:rFonts w:ascii="Times New Roman" w:hAnsi="Times New Roman"/>
          <w:sz w:val="24"/>
          <w:szCs w:val="24"/>
        </w:rPr>
        <w:t>оказываемые</w:t>
      </w:r>
      <w:r w:rsidRPr="000B7A50">
        <w:rPr>
          <w:rFonts w:ascii="Times New Roman" w:hAnsi="Times New Roman"/>
          <w:sz w:val="24"/>
          <w:szCs w:val="24"/>
        </w:rPr>
        <w:t xml:space="preserve"> </w:t>
      </w:r>
      <w:r w:rsidR="00F06E03">
        <w:rPr>
          <w:rFonts w:ascii="Times New Roman" w:hAnsi="Times New Roman"/>
          <w:sz w:val="24"/>
          <w:szCs w:val="24"/>
        </w:rPr>
        <w:t>услуги</w:t>
      </w:r>
      <w:r w:rsidRPr="000B7A50">
        <w:rPr>
          <w:rFonts w:ascii="Times New Roman" w:hAnsi="Times New Roman"/>
          <w:sz w:val="24"/>
          <w:szCs w:val="24"/>
        </w:rPr>
        <w:t>, согласованных в договоре. Срок действия опциона заканчивается не позднее даты нача</w:t>
      </w:r>
      <w:r w:rsidR="00F06E03">
        <w:rPr>
          <w:rFonts w:ascii="Times New Roman" w:hAnsi="Times New Roman"/>
          <w:sz w:val="24"/>
          <w:szCs w:val="24"/>
        </w:rPr>
        <w:t>ла последнего срока оказания услуг</w:t>
      </w:r>
      <w:r w:rsidRPr="000B7A50">
        <w:rPr>
          <w:rFonts w:ascii="Times New Roman" w:hAnsi="Times New Roman"/>
          <w:sz w:val="24"/>
          <w:szCs w:val="24"/>
        </w:rPr>
        <w:t>, предусмотренной договором</w:t>
      </w:r>
      <w:r>
        <w:rPr>
          <w:rFonts w:ascii="Times New Roman" w:hAnsi="Times New Roman"/>
          <w:sz w:val="24"/>
          <w:szCs w:val="24"/>
        </w:rPr>
        <w:t>.</w:t>
      </w:r>
    </w:p>
    <w:p w:rsidR="00271A4F" w:rsidRDefault="00B94E8A" w:rsidP="00845FE4">
      <w:pPr>
        <w:pStyle w:val="a3"/>
        <w:numPr>
          <w:ilvl w:val="1"/>
          <w:numId w:val="19"/>
        </w:numPr>
        <w:ind w:left="0" w:firstLine="0"/>
        <w:rPr>
          <w:rFonts w:ascii="Times New Roman" w:hAnsi="Times New Roman"/>
          <w:sz w:val="24"/>
          <w:szCs w:val="24"/>
        </w:rPr>
      </w:pPr>
      <w:r w:rsidRPr="00845FE4">
        <w:rPr>
          <w:rFonts w:ascii="Times New Roman" w:hAnsi="Times New Roman"/>
          <w:sz w:val="24"/>
          <w:szCs w:val="24"/>
        </w:rPr>
        <w:t xml:space="preserve">Результат оказываемых услуг: </w:t>
      </w:r>
      <w:r w:rsidR="007E4DDF" w:rsidRPr="00845FE4">
        <w:rPr>
          <w:rFonts w:ascii="Times New Roman" w:hAnsi="Times New Roman"/>
          <w:sz w:val="24"/>
          <w:szCs w:val="24"/>
        </w:rPr>
        <w:t>ЭПБ объектов исследования</w:t>
      </w:r>
      <w:r w:rsidR="00AD2EC2" w:rsidRPr="00845FE4">
        <w:rPr>
          <w:rFonts w:ascii="Times New Roman" w:hAnsi="Times New Roman"/>
          <w:sz w:val="24"/>
          <w:szCs w:val="24"/>
        </w:rPr>
        <w:t>, выполненная в соответствии с</w:t>
      </w:r>
      <w:r w:rsidR="00AD2EC2" w:rsidRPr="00845FE4">
        <w:rPr>
          <w:rFonts w:ascii="Times New Roman" w:hAnsi="Times New Roman"/>
          <w:sz w:val="24"/>
          <w:szCs w:val="24"/>
        </w:rPr>
        <w:br/>
        <w:t xml:space="preserve">Правилами проведения экспертизы промышленной безопасности, утвержденными Приказом Ростехнадзора от </w:t>
      </w:r>
      <w:r w:rsidR="00BD7743" w:rsidRPr="00845FE4">
        <w:rPr>
          <w:rFonts w:ascii="Times New Roman" w:hAnsi="Times New Roman"/>
          <w:sz w:val="24"/>
          <w:szCs w:val="24"/>
        </w:rPr>
        <w:t>20.10.2020 № 420</w:t>
      </w:r>
      <w:r w:rsidR="00AD2EC2" w:rsidRPr="00845FE4">
        <w:rPr>
          <w:rFonts w:ascii="Times New Roman" w:hAnsi="Times New Roman"/>
          <w:sz w:val="24"/>
          <w:szCs w:val="24"/>
        </w:rPr>
        <w:t xml:space="preserve">. </w:t>
      </w:r>
      <w:r w:rsidR="00845FE4" w:rsidRPr="00845FE4">
        <w:rPr>
          <w:rFonts w:ascii="Times New Roman" w:hAnsi="Times New Roman"/>
          <w:sz w:val="24"/>
          <w:szCs w:val="24"/>
        </w:rPr>
        <w:t xml:space="preserve">ЭПБ должна быть оформлена в виде заключения по результатам ЭПБ, подписанного руководителем экспертной организации, заверенного печатью экспертной организации, </w:t>
      </w:r>
      <w:r w:rsidR="005B5FCC" w:rsidRPr="005B5FCC">
        <w:rPr>
          <w:rFonts w:ascii="Times New Roman" w:hAnsi="Times New Roman"/>
          <w:sz w:val="24"/>
          <w:szCs w:val="24"/>
        </w:rPr>
        <w:t xml:space="preserve">прошивается с указанием количества сшитых страниц, передается Заказчику. Заказчик </w:t>
      </w:r>
      <w:r w:rsidR="005B5FCC" w:rsidRPr="005B5FCC">
        <w:rPr>
          <w:rFonts w:ascii="Times New Roman" w:hAnsi="Times New Roman"/>
          <w:sz w:val="24"/>
          <w:szCs w:val="24"/>
        </w:rPr>
        <w:lastRenderedPageBreak/>
        <w:t>самостоятельно регистрирует ЭПБ на портале «Госуслуг» в Ростехнадзоре. В случае возникновения замечаний со стороны регионального управления Ростехнадзора Исполнитель устраняет их собственными силами и передает Заказчику.</w:t>
      </w:r>
    </w:p>
    <w:p w:rsidR="00845FE4" w:rsidRPr="00845FE4" w:rsidRDefault="00845FE4" w:rsidP="00845FE4">
      <w:pPr>
        <w:pStyle w:val="a3"/>
        <w:numPr>
          <w:ilvl w:val="1"/>
          <w:numId w:val="19"/>
        </w:numPr>
        <w:ind w:left="0" w:firstLine="0"/>
        <w:rPr>
          <w:rFonts w:ascii="Times New Roman" w:hAnsi="Times New Roman"/>
          <w:sz w:val="24"/>
          <w:szCs w:val="24"/>
        </w:rPr>
      </w:pPr>
      <w:r w:rsidRPr="00845FE4">
        <w:rPr>
          <w:rFonts w:ascii="Times New Roman" w:hAnsi="Times New Roman"/>
          <w:sz w:val="24"/>
          <w:szCs w:val="24"/>
        </w:rPr>
        <w:t>Заказчику, а также необходимо произвести соответствующие записи в паспортах на оборудование и заверить записи печатью.</w:t>
      </w:r>
    </w:p>
    <w:p w:rsidR="00FF762B" w:rsidRPr="00845FE4" w:rsidRDefault="002E15B2" w:rsidP="00845F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45FE4">
        <w:rPr>
          <w:rFonts w:ascii="Times New Roman" w:hAnsi="Times New Roman"/>
          <w:sz w:val="24"/>
          <w:szCs w:val="24"/>
        </w:rPr>
        <w:t>Результатом паспортизации является изготовление паспорта заверенного подписью руководителя организации и печатью.</w:t>
      </w:r>
    </w:p>
    <w:p w:rsidR="00AA1B8F" w:rsidRPr="009F5A78" w:rsidRDefault="00AA1B8F" w:rsidP="00B71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Юридический адрес:660135 Россия, г. Красноярск, ул. Весны, дом 3 «а».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 xml:space="preserve">Почтовый адрес: 660135, г. </w:t>
      </w:r>
      <w:proofErr w:type="spellStart"/>
      <w:r w:rsidRPr="00732EFD">
        <w:rPr>
          <w:rFonts w:ascii="Times New Roman" w:hAnsi="Times New Roman" w:cs="Times New Roman"/>
          <w:sz w:val="24"/>
          <w:szCs w:val="24"/>
        </w:rPr>
        <w:t>Красноярск.ул</w:t>
      </w:r>
      <w:proofErr w:type="spellEnd"/>
      <w:r w:rsidRPr="00732EFD">
        <w:rPr>
          <w:rFonts w:ascii="Times New Roman" w:hAnsi="Times New Roman" w:cs="Times New Roman"/>
          <w:sz w:val="24"/>
          <w:szCs w:val="24"/>
        </w:rPr>
        <w:t>. Весны 3 «а».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 xml:space="preserve">Адрес для корреспонденции: 660077, г. Красноярск, ул. Весны 3 «а», </w:t>
      </w:r>
      <w:proofErr w:type="spellStart"/>
      <w:r w:rsidRPr="00732EFD">
        <w:rPr>
          <w:rFonts w:ascii="Times New Roman" w:hAnsi="Times New Roman" w:cs="Times New Roman"/>
          <w:sz w:val="24"/>
          <w:szCs w:val="24"/>
        </w:rPr>
        <w:t>б.ц</w:t>
      </w:r>
      <w:proofErr w:type="spellEnd"/>
      <w:r w:rsidRPr="00732EFD">
        <w:rPr>
          <w:rFonts w:ascii="Times New Roman" w:hAnsi="Times New Roman" w:cs="Times New Roman"/>
          <w:sz w:val="24"/>
          <w:szCs w:val="24"/>
        </w:rPr>
        <w:t>. Весна 13 этаж.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 xml:space="preserve">Тел. (391) 274-86-81, факс (391) 274-86-82, 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ИНН 8801011908, КПП 246 501001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Банк «</w:t>
      </w:r>
      <w:proofErr w:type="spellStart"/>
      <w:r w:rsidRPr="00732EFD">
        <w:rPr>
          <w:rFonts w:ascii="Times New Roman" w:hAnsi="Times New Roman" w:cs="Times New Roman"/>
          <w:sz w:val="24"/>
          <w:szCs w:val="24"/>
        </w:rPr>
        <w:t>ВбРР</w:t>
      </w:r>
      <w:proofErr w:type="spellEnd"/>
      <w:r w:rsidRPr="00732EFD">
        <w:rPr>
          <w:rFonts w:ascii="Times New Roman" w:hAnsi="Times New Roman" w:cs="Times New Roman"/>
          <w:sz w:val="24"/>
          <w:szCs w:val="24"/>
        </w:rPr>
        <w:t xml:space="preserve">» (АО) г. Москва 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 xml:space="preserve">БИК: 044525880 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к/с: 30101810900000000880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р/с: 40702810500000005949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 xml:space="preserve">ИНН/КПП: 7736153344/775001001, </w:t>
      </w:r>
    </w:p>
    <w:p w:rsidR="00732EFD" w:rsidRPr="00732EFD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ОГРН: 1027739186914</w:t>
      </w:r>
    </w:p>
    <w:p w:rsidR="00DA5471" w:rsidRDefault="00732EFD" w:rsidP="00732E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EFD">
        <w:rPr>
          <w:rFonts w:ascii="Times New Roman" w:hAnsi="Times New Roman" w:cs="Times New Roman"/>
          <w:sz w:val="24"/>
          <w:szCs w:val="24"/>
        </w:rPr>
        <w:t>Код ОКПО: 42881635</w:t>
      </w:r>
    </w:p>
    <w:p w:rsidR="00732EFD" w:rsidRPr="00F248F9" w:rsidRDefault="00732EFD" w:rsidP="00732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5C37" w:rsidRPr="009E5C37" w:rsidRDefault="00A43E62" w:rsidP="00B715E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A43E6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Требования к предмету закупки</w:t>
      </w:r>
    </w:p>
    <w:p w:rsidR="009E5C37" w:rsidRPr="000F3486" w:rsidRDefault="009E5C37" w:rsidP="00B715E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6"/>
        <w:gridCol w:w="2835"/>
        <w:gridCol w:w="1418"/>
        <w:gridCol w:w="1417"/>
      </w:tblGrid>
      <w:tr w:rsidR="009E5C37" w:rsidRPr="0075633F" w:rsidTr="005119E9">
        <w:trPr>
          <w:trHeight w:val="285"/>
          <w:tblHeader/>
        </w:trPr>
        <w:tc>
          <w:tcPr>
            <w:tcW w:w="710" w:type="dxa"/>
            <w:shd w:val="clear" w:color="000000" w:fill="D8D8D8"/>
            <w:noWrap/>
            <w:vAlign w:val="center"/>
            <w:hideMark/>
          </w:tcPr>
          <w:p w:rsidR="009E5C37" w:rsidRPr="00DB24E8" w:rsidRDefault="009E5C3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26" w:type="dxa"/>
            <w:shd w:val="clear" w:color="000000" w:fill="D8D8D8"/>
            <w:vAlign w:val="center"/>
            <w:hideMark/>
          </w:tcPr>
          <w:p w:rsidR="009E5C37" w:rsidRPr="00DB24E8" w:rsidRDefault="009E5C3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000000" w:fill="D8D8D8"/>
            <w:vAlign w:val="center"/>
            <w:hideMark/>
          </w:tcPr>
          <w:p w:rsidR="009E5C37" w:rsidRPr="00DB24E8" w:rsidRDefault="009E5C3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</w:t>
            </w:r>
            <w:r w:rsidR="0075633F" w:rsidRPr="00DB2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DB2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подтверждающие соответствие требованию</w:t>
            </w:r>
          </w:p>
        </w:tc>
        <w:tc>
          <w:tcPr>
            <w:tcW w:w="1418" w:type="dxa"/>
            <w:shd w:val="clear" w:color="000000" w:fill="D8D8D8"/>
            <w:vAlign w:val="center"/>
            <w:hideMark/>
          </w:tcPr>
          <w:p w:rsidR="009E5C37" w:rsidRPr="00DB24E8" w:rsidRDefault="009E5C3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9E5C37" w:rsidRPr="0075633F" w:rsidRDefault="009E5C3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56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A1B8F" w:rsidRPr="0075633F" w:rsidTr="005119E9">
        <w:trPr>
          <w:trHeight w:val="2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AA1B8F" w:rsidRPr="00BF7903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AA1B8F"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6" w:type="dxa"/>
            <w:shd w:val="clear" w:color="000000" w:fill="FFFFFF"/>
            <w:vAlign w:val="center"/>
            <w:hideMark/>
          </w:tcPr>
          <w:p w:rsidR="00AA1B8F" w:rsidRPr="001F510E" w:rsidRDefault="00AA1B8F" w:rsidP="00F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возможность выпо</w:t>
            </w:r>
            <w:r w:rsid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лнения требуемого объема </w:t>
            </w:r>
            <w:r w:rsidR="00BF7903"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(</w:t>
            </w:r>
            <w:r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 техни</w:t>
            </w:r>
            <w:r w:rsidR="00BF7903"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ческому заданию Приложение №1</w:t>
            </w:r>
            <w:r w:rsidR="008D3C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Форме 2 </w:t>
            </w:r>
            <w:r w:rsidRPr="00BF7903">
              <w:rPr>
                <w:rFonts w:ascii="Times New Roman" w:hAnsi="Times New Roman"/>
                <w:sz w:val="20"/>
                <w:szCs w:val="20"/>
              </w:rPr>
              <w:t>«Требования к предмету оферты»</w:t>
            </w:r>
            <w:r w:rsidR="00BF7903" w:rsidRPr="00BF79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AA1B8F" w:rsidRPr="001F510E" w:rsidRDefault="00AA1B8F" w:rsidP="00F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 и подписанное Техническое задание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A1B8F" w:rsidRPr="001F510E" w:rsidRDefault="00AA1B8F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A1B8F" w:rsidRPr="001F510E" w:rsidRDefault="00AA1B8F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E437B5" w:rsidRPr="0075633F" w:rsidTr="005119E9">
        <w:trPr>
          <w:trHeight w:val="2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437B5" w:rsidRPr="00BF7903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E437B5" w:rsidRPr="00BF790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6" w:type="dxa"/>
            <w:shd w:val="clear" w:color="000000" w:fill="FFFFFF"/>
            <w:vAlign w:val="center"/>
            <w:hideMark/>
          </w:tcPr>
          <w:p w:rsidR="00E437B5" w:rsidRPr="00BD7743" w:rsidRDefault="00E437B5" w:rsidP="00F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выполнить </w:t>
            </w: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ЭПБ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бурового </w:t>
            </w:r>
            <w:r w:rsidRP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="00815060" w:rsidRP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t>рудования в соответствии с</w:t>
            </w:r>
            <w:r w:rsidRP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Правилами проведения экспертизы промышленной безопасности, утв. Приказом Ростехнадзора</w:t>
            </w:r>
            <w:r w:rsidR="00BD7743" w:rsidRP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20.10.2020 № 420</w:t>
            </w:r>
            <w:r w:rsidRP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2. По результатам ЭПБ выда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ть </w:t>
            </w: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заключение экспертизы промышленной безопасности на бумажном носителе в </w:t>
            </w:r>
            <w:r w:rsidR="000C1A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C1ACD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экземпля</w:t>
            </w:r>
            <w:r w:rsidR="000C1ACD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 электронном виде в форматах «.</w:t>
            </w:r>
            <w:proofErr w:type="spellStart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pdf</w:t>
            </w:r>
            <w:proofErr w:type="spellEnd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» и «.</w:t>
            </w:r>
            <w:proofErr w:type="spellStart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xls</w:t>
            </w:r>
            <w:proofErr w:type="spellEnd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Start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/«</w:t>
            </w:r>
            <w:proofErr w:type="gramEnd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doc</w:t>
            </w:r>
            <w:proofErr w:type="spellEnd"/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».</w:t>
            </w:r>
            <w:r w:rsidR="00212F6D" w:rsidRPr="003169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вместе </w:t>
            </w:r>
            <w:r w:rsidR="00C657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="00212F6D" w:rsidRPr="00316911">
              <w:rPr>
                <w:rFonts w:ascii="Times New Roman" w:eastAsia="Times New Roman" w:hAnsi="Times New Roman" w:cs="Times New Roman"/>
                <w:sz w:val="20"/>
                <w:szCs w:val="20"/>
              </w:rPr>
              <w:t>Реестр</w:t>
            </w:r>
            <w:r w:rsidR="00C6578E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="00212F6D" w:rsidRPr="003169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заключений экспертизы промышленной безопасности</w:t>
            </w:r>
            <w:r w:rsidR="00212F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региональном управлении Ростехнадзора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437B5" w:rsidRPr="008A59F8" w:rsidRDefault="00B158CC" w:rsidP="00F36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D0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437B5" w:rsidRPr="008A59F8" w:rsidRDefault="00E437B5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7B5" w:rsidRPr="008A59F8" w:rsidRDefault="00E437B5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59F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50A74" w:rsidRPr="0075633F" w:rsidTr="005119E9">
        <w:trPr>
          <w:trHeight w:val="230"/>
        </w:trPr>
        <w:tc>
          <w:tcPr>
            <w:tcW w:w="710" w:type="dxa"/>
            <w:shd w:val="clear" w:color="auto" w:fill="auto"/>
            <w:noWrap/>
            <w:vAlign w:val="center"/>
          </w:tcPr>
          <w:p w:rsidR="00150A74" w:rsidRPr="00BF7903" w:rsidRDefault="00150A74" w:rsidP="0015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826" w:type="dxa"/>
            <w:shd w:val="clear" w:color="000000" w:fill="FFFFFF"/>
          </w:tcPr>
          <w:p w:rsidR="00150A74" w:rsidRPr="00A318C0" w:rsidRDefault="00150A74" w:rsidP="00F36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65ACE">
              <w:rPr>
                <w:rFonts w:ascii="Times New Roman" w:hAnsi="Times New Roman"/>
                <w:sz w:val="20"/>
                <w:szCs w:val="20"/>
              </w:rPr>
              <w:t>Согласие оказать услуги в объеме и в сроки в соот</w:t>
            </w:r>
            <w:r>
              <w:rPr>
                <w:rFonts w:ascii="Times New Roman" w:hAnsi="Times New Roman"/>
                <w:sz w:val="20"/>
                <w:szCs w:val="20"/>
              </w:rPr>
              <w:t>ветствии с Приложением №1</w:t>
            </w:r>
            <w:r w:rsidRPr="00265ACE">
              <w:rPr>
                <w:rFonts w:ascii="Times New Roman" w:hAnsi="Times New Roman"/>
                <w:sz w:val="20"/>
                <w:szCs w:val="20"/>
              </w:rPr>
              <w:t>к Форме 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150A74" w:rsidRPr="000E54F3" w:rsidRDefault="00150A74" w:rsidP="00F36BF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65ACE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0A74" w:rsidRPr="001F510E" w:rsidRDefault="00150A74" w:rsidP="0015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50A74" w:rsidRPr="001F510E" w:rsidRDefault="00150A74" w:rsidP="00150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</w:tbl>
    <w:p w:rsidR="000F3486" w:rsidRPr="00231E7F" w:rsidRDefault="000F3486" w:rsidP="00B715E3">
      <w:pPr>
        <w:pStyle w:val="aa"/>
        <w:widowControl w:val="0"/>
        <w:spacing w:after="0"/>
        <w:ind w:left="0"/>
        <w:rPr>
          <w:sz w:val="22"/>
          <w:szCs w:val="22"/>
        </w:rPr>
      </w:pPr>
    </w:p>
    <w:p w:rsidR="00566036" w:rsidRPr="00231E7F" w:rsidRDefault="00566036" w:rsidP="00231E7F">
      <w:pPr>
        <w:pStyle w:val="aa"/>
        <w:widowControl w:val="0"/>
        <w:numPr>
          <w:ilvl w:val="0"/>
          <w:numId w:val="1"/>
        </w:numPr>
        <w:spacing w:after="0"/>
        <w:rPr>
          <w:sz w:val="22"/>
          <w:szCs w:val="22"/>
        </w:rPr>
      </w:pPr>
      <w:r w:rsidRPr="00231E7F">
        <w:rPr>
          <w:b/>
          <w:bCs/>
          <w:i/>
          <w:sz w:val="22"/>
          <w:szCs w:val="22"/>
        </w:rPr>
        <w:t>Требования к контрагенту: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8"/>
        <w:gridCol w:w="2693"/>
        <w:gridCol w:w="1418"/>
        <w:gridCol w:w="1417"/>
      </w:tblGrid>
      <w:tr w:rsidR="006F04B2" w:rsidRPr="002C3E68" w:rsidTr="005119E9">
        <w:trPr>
          <w:trHeight w:val="258"/>
          <w:tblHeader/>
        </w:trPr>
        <w:tc>
          <w:tcPr>
            <w:tcW w:w="710" w:type="dxa"/>
            <w:shd w:val="clear" w:color="000000" w:fill="D8D8D8"/>
            <w:vAlign w:val="center"/>
            <w:hideMark/>
          </w:tcPr>
          <w:p w:rsidR="006F04B2" w:rsidRPr="002C3E68" w:rsidRDefault="006F04B2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968" w:type="dxa"/>
            <w:shd w:val="clear" w:color="000000" w:fill="D8D8D8"/>
            <w:vAlign w:val="center"/>
            <w:hideMark/>
          </w:tcPr>
          <w:p w:rsidR="006F04B2" w:rsidRPr="002C3E68" w:rsidRDefault="006F04B2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693" w:type="dxa"/>
            <w:shd w:val="clear" w:color="000000" w:fill="D8D8D8"/>
            <w:vAlign w:val="center"/>
            <w:hideMark/>
          </w:tcPr>
          <w:p w:rsidR="006F04B2" w:rsidRPr="002C3E68" w:rsidRDefault="006F04B2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  <w:shd w:val="clear" w:color="000000" w:fill="D8D8D8"/>
            <w:vAlign w:val="center"/>
            <w:hideMark/>
          </w:tcPr>
          <w:p w:rsidR="006F04B2" w:rsidRPr="002C3E68" w:rsidRDefault="006F04B2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7" w:type="dxa"/>
            <w:shd w:val="clear" w:color="000000" w:fill="D8D8D8"/>
            <w:vAlign w:val="center"/>
            <w:hideMark/>
          </w:tcPr>
          <w:p w:rsidR="006F04B2" w:rsidRPr="002C3E68" w:rsidRDefault="006F04B2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36BFF" w:rsidRPr="002C3E68" w:rsidTr="005119E9">
        <w:trPr>
          <w:trHeight w:val="408"/>
        </w:trPr>
        <w:tc>
          <w:tcPr>
            <w:tcW w:w="710" w:type="dxa"/>
            <w:noWrap/>
            <w:hideMark/>
          </w:tcPr>
          <w:p w:rsidR="00F36BFF" w:rsidRPr="002131B8" w:rsidRDefault="00F36BFF" w:rsidP="00F36BFF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31B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BFF" w:rsidRPr="00F36BFF" w:rsidRDefault="00F36BFF" w:rsidP="00F36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F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F36BFF" w:rsidRPr="00F36BFF" w:rsidRDefault="00F36BFF" w:rsidP="00F36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F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отсутствия: Согласие участника закупки предоставить полный пакет </w:t>
            </w:r>
            <w:r w:rsidRPr="00F36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BFF" w:rsidRPr="00F36BFF" w:rsidRDefault="00F36BFF" w:rsidP="00F36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действующего заключения ПАО «НК «Роснефть» по результатам проверки в рамках должной осмотрительности/ </w:t>
            </w:r>
            <w:r w:rsidRPr="00F36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Гарантийное письмо за подписью руководителя о согласии.</w:t>
            </w:r>
          </w:p>
        </w:tc>
        <w:tc>
          <w:tcPr>
            <w:tcW w:w="1418" w:type="dxa"/>
            <w:vAlign w:val="center"/>
            <w:hideMark/>
          </w:tcPr>
          <w:p w:rsidR="00F36BFF" w:rsidRPr="002131B8" w:rsidRDefault="00F36BFF" w:rsidP="00F36BFF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31B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noWrap/>
            <w:vAlign w:val="center"/>
            <w:hideMark/>
          </w:tcPr>
          <w:p w:rsidR="00F36BFF" w:rsidRPr="002131B8" w:rsidRDefault="00F36BFF" w:rsidP="00F36BFF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2131B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131B8" w:rsidRPr="002C3E68" w:rsidTr="005119E9">
        <w:trPr>
          <w:trHeight w:val="2770"/>
        </w:trPr>
        <w:tc>
          <w:tcPr>
            <w:tcW w:w="710" w:type="dxa"/>
            <w:shd w:val="clear" w:color="auto" w:fill="auto"/>
            <w:noWrap/>
            <w:vAlign w:val="center"/>
          </w:tcPr>
          <w:p w:rsidR="002131B8" w:rsidRDefault="002802E4" w:rsidP="0021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8D0FB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2131B8" w:rsidRPr="00CE1DBD" w:rsidRDefault="002131B8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действующей лицензии на деятельность по проведению экспертизы промышленной безопасности на следующие услуги:</w:t>
            </w:r>
          </w:p>
          <w:p w:rsidR="002131B8" w:rsidRPr="00CE1DBD" w:rsidRDefault="002131B8" w:rsidP="005119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hAnsi="Times New Roman" w:cs="Times New Roman"/>
                <w:sz w:val="20"/>
                <w:szCs w:val="20"/>
              </w:rPr>
              <w:t xml:space="preserve">- проведение экспертизы промышленной безопасности технических устройств, применяемых на опасном производственном объекте, в случаях, установленных </w:t>
            </w:r>
            <w:hyperlink r:id="rId8" w:history="1">
              <w:r w:rsidRPr="00CE1DBD">
                <w:rPr>
                  <w:rFonts w:ascii="Times New Roman" w:hAnsi="Times New Roman" w:cs="Times New Roman"/>
                  <w:sz w:val="20"/>
                  <w:szCs w:val="20"/>
                </w:rPr>
                <w:t>статьей 7</w:t>
              </w:r>
            </w:hyperlink>
            <w:r w:rsidRPr="00CE1DBD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"О промышленной безопасности опасных производственных объектов"</w:t>
            </w:r>
            <w:r w:rsidR="005119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31B8" w:rsidRPr="00CE1DBD" w:rsidRDefault="002131B8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695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действующей лицензии участника закупки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31B8" w:rsidRPr="00AA1B8F" w:rsidRDefault="002131B8" w:rsidP="0021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B8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131B8" w:rsidRPr="00AA1B8F" w:rsidRDefault="002131B8" w:rsidP="0021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1B8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437B5" w:rsidRPr="002C3E68" w:rsidTr="005119E9">
        <w:trPr>
          <w:trHeight w:val="708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437B5" w:rsidRPr="002C3E68" w:rsidRDefault="009F24B7" w:rsidP="00ED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8D0FB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8" w:type="dxa"/>
            <w:shd w:val="clear" w:color="auto" w:fill="auto"/>
            <w:hideMark/>
          </w:tcPr>
          <w:p w:rsidR="00E437B5" w:rsidRPr="00206695" w:rsidRDefault="00B715E3" w:rsidP="00ED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в течение последних 3 (трех) лет аварий </w:t>
            </w:r>
            <w:r w:rsidR="005119E9"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5119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19E9"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опасных</w:t>
            </w:r>
            <w:r w:rsidR="005119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19E9"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производственных</w:t>
            </w:r>
            <w:r w:rsidR="005119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19E9"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объектах,</w:t>
            </w:r>
            <w:r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отношении которых участнико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 закупки проводилась ЭПБ и</w:t>
            </w:r>
            <w:r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расследовании которых была устан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овлена вина участника закупки </w:t>
            </w:r>
            <w:r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или работников участника закупки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437B5" w:rsidRPr="00206695" w:rsidRDefault="00821F0E" w:rsidP="00ED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D0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437B5" w:rsidRPr="00206695" w:rsidRDefault="00E437B5" w:rsidP="00ED6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69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7B5" w:rsidRPr="000E54F3" w:rsidRDefault="00E437B5" w:rsidP="00ED689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432632" w:rsidRPr="002C3E68" w:rsidTr="005119E9">
        <w:trPr>
          <w:trHeight w:val="708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432632" w:rsidRPr="002C3E68" w:rsidRDefault="00432632" w:rsidP="00432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632" w:rsidRPr="00026425" w:rsidRDefault="00432632" w:rsidP="00A374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425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026425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026425">
              <w:rPr>
                <w:rFonts w:ascii="Times New Roman" w:hAnsi="Times New Roman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432632" w:rsidRPr="001F6390" w:rsidRDefault="00432632" w:rsidP="00A37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6390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32632" w:rsidRPr="001F6390" w:rsidRDefault="00432632" w:rsidP="00432632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390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2632" w:rsidRPr="001F6390" w:rsidRDefault="00432632" w:rsidP="00432632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6390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F6390" w:rsidRPr="002C3E68" w:rsidTr="005119E9">
        <w:trPr>
          <w:trHeight w:val="708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1F6390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8" w:type="dxa"/>
            <w:shd w:val="clear" w:color="auto" w:fill="auto"/>
            <w:vAlign w:val="center"/>
            <w:hideMark/>
          </w:tcPr>
          <w:p w:rsidR="001F6390" w:rsidRPr="001F6390" w:rsidRDefault="001F6390" w:rsidP="00A374DB">
            <w:pPr>
              <w:spacing w:after="0" w:line="240" w:lineRule="auto"/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1F6390">
              <w:rPr>
                <w:rFonts w:ascii="Times" w:eastAsia="Times New Roman" w:hAnsi="Times" w:cs="Arial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1F6390">
              <w:rPr>
                <w:rFonts w:ascii="Times" w:eastAsia="Times New Roman" w:hAnsi="Times" w:cs="Arial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F6390" w:rsidRPr="001F6390" w:rsidRDefault="001F6390" w:rsidP="00A374DB">
            <w:pPr>
              <w:spacing w:after="0" w:line="240" w:lineRule="auto"/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1F6390">
              <w:rPr>
                <w:rFonts w:ascii="Times" w:eastAsia="Times New Roman" w:hAnsi="Times" w:cs="Arial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6390" w:rsidRPr="001F6390" w:rsidRDefault="001F6390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39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F6390" w:rsidRPr="001F6390" w:rsidRDefault="001F6390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639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6390" w:rsidRPr="002C3E68" w:rsidTr="005119E9">
        <w:trPr>
          <w:trHeight w:val="27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1F6390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8" w:type="dxa"/>
            <w:shd w:val="clear" w:color="auto" w:fill="auto"/>
            <w:hideMark/>
          </w:tcPr>
          <w:p w:rsidR="001F6390" w:rsidRPr="00D3057D" w:rsidRDefault="001F6390" w:rsidP="00A37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1F6390" w:rsidRPr="00D3057D" w:rsidRDefault="001F6390" w:rsidP="00A37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F6390" w:rsidRPr="00D3057D" w:rsidRDefault="001F6390" w:rsidP="00A374DB">
            <w:pPr>
              <w:pStyle w:val="a3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6390" w:rsidRDefault="001F6390" w:rsidP="00A37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письменном виде) требованиям (замечаниям, претензиям, штрафам) в течение 3-х мес. после их выставления. </w:t>
            </w:r>
          </w:p>
          <w:p w:rsidR="001F6390" w:rsidRPr="00D3057D" w:rsidRDefault="001F6390" w:rsidP="00A374DB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F6390" w:rsidRPr="00D3057D" w:rsidRDefault="001F6390" w:rsidP="00A374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6390" w:rsidRPr="00D3057D" w:rsidRDefault="001F6390" w:rsidP="00BF7903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F6390" w:rsidRPr="00D3057D" w:rsidRDefault="001F6390" w:rsidP="00BF7903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151D" w:rsidRPr="002C3E68" w:rsidTr="005119E9">
        <w:trPr>
          <w:trHeight w:val="1214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:rsidR="00F6151D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8" w:type="dxa"/>
            <w:vMerge w:val="restart"/>
            <w:shd w:val="clear" w:color="auto" w:fill="auto"/>
            <w:vAlign w:val="center"/>
            <w:hideMark/>
          </w:tcPr>
          <w:p w:rsidR="00F6151D" w:rsidRPr="002C3E68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Согласие </w:t>
            </w:r>
            <w:r w:rsidR="00E607B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участника закупки</w:t>
            </w: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 условиями Договора Заказчика</w:t>
            </w:r>
            <w:r w:rsidR="0012351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6151D" w:rsidRPr="002C3E68" w:rsidRDefault="00CC1B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2C7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рма 3)</w:t>
            </w:r>
            <w:r w:rsidR="00FF0C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6151D" w:rsidRPr="002C3E68" w:rsidTr="00ED689A">
        <w:trPr>
          <w:trHeight w:val="1149"/>
        </w:trPr>
        <w:tc>
          <w:tcPr>
            <w:tcW w:w="710" w:type="dxa"/>
            <w:vMerge/>
            <w:vAlign w:val="center"/>
            <w:hideMark/>
          </w:tcPr>
          <w:p w:rsidR="00F6151D" w:rsidRPr="002C3E68" w:rsidRDefault="00F6151D" w:rsidP="00B7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vMerge/>
            <w:vAlign w:val="center"/>
            <w:hideMark/>
          </w:tcPr>
          <w:p w:rsidR="00F6151D" w:rsidRPr="002C3E68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6151D" w:rsidRPr="002C3E68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151D" w:rsidRPr="002C3E68" w:rsidTr="005119E9">
        <w:trPr>
          <w:trHeight w:val="573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:rsidR="00F6151D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8" w:type="dxa"/>
            <w:vMerge w:val="restart"/>
            <w:shd w:val="clear" w:color="auto" w:fill="auto"/>
            <w:vAlign w:val="center"/>
            <w:hideMark/>
          </w:tcPr>
          <w:p w:rsidR="00F6151D" w:rsidRPr="002C3E68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</w:t>
            </w:r>
            <w:r w:rsidR="00E607B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</w:t>
            </w:r>
            <w:r w:rsidR="00E607B2">
              <w:rPr>
                <w:rFonts w:ascii="Times New Roman" w:eastAsia="Times New Roman" w:hAnsi="Times New Roman" w:cs="Times New Roman"/>
                <w:sz w:val="20"/>
                <w:szCs w:val="20"/>
              </w:rPr>
              <w:t>ам</w:t>
            </w: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их использование для выполнения данного вида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6151D" w:rsidRPr="002C3E68" w:rsidRDefault="002E07BB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D0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6151D" w:rsidRPr="002C3E68" w:rsidTr="005119E9">
        <w:trPr>
          <w:trHeight w:val="509"/>
        </w:trPr>
        <w:tc>
          <w:tcPr>
            <w:tcW w:w="710" w:type="dxa"/>
            <w:vMerge/>
            <w:vAlign w:val="center"/>
            <w:hideMark/>
          </w:tcPr>
          <w:p w:rsidR="00F6151D" w:rsidRPr="002C3E68" w:rsidRDefault="00F6151D" w:rsidP="00B7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vMerge/>
            <w:vAlign w:val="center"/>
            <w:hideMark/>
          </w:tcPr>
          <w:p w:rsidR="00F6151D" w:rsidRPr="002C3E68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6151D" w:rsidRPr="002C3E68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6151D" w:rsidRPr="002C3E68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151D" w:rsidRPr="002C3E68" w:rsidTr="005119E9">
        <w:trPr>
          <w:trHeight w:val="939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F6151D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8" w:type="dxa"/>
            <w:shd w:val="clear" w:color="auto" w:fill="auto"/>
            <w:vAlign w:val="center"/>
            <w:hideMark/>
          </w:tcPr>
          <w:p w:rsidR="00F6151D" w:rsidRPr="00CE1DBD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6151D" w:rsidRPr="00CE1DBD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151D" w:rsidRPr="00CE1DBD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6151D" w:rsidRPr="00CE1DBD" w:rsidRDefault="00F6151D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6151D" w:rsidRPr="002C3E68" w:rsidTr="005119E9">
        <w:trPr>
          <w:trHeight w:val="939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:rsidR="00F6151D" w:rsidRPr="00A252A1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802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F67D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68" w:type="dxa"/>
            <w:shd w:val="clear" w:color="auto" w:fill="auto"/>
            <w:hideMark/>
          </w:tcPr>
          <w:p w:rsidR="00F6151D" w:rsidRPr="000E54F3" w:rsidRDefault="00F6151D" w:rsidP="00A37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0669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заключить</w:t>
            </w:r>
            <w:r w:rsidR="00673E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06695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договоры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6151D" w:rsidRPr="00CE1DBD" w:rsidRDefault="00B0122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D0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151D" w:rsidRPr="000E54F3" w:rsidRDefault="00F6151D" w:rsidP="00BF7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6151D" w:rsidRPr="000E54F3" w:rsidRDefault="00F6151D" w:rsidP="00BF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F6151D" w:rsidRPr="002C3E68" w:rsidTr="005119E9">
        <w:trPr>
          <w:trHeight w:val="228"/>
        </w:trPr>
        <w:tc>
          <w:tcPr>
            <w:tcW w:w="710" w:type="dxa"/>
            <w:vMerge/>
            <w:shd w:val="clear" w:color="auto" w:fill="auto"/>
            <w:noWrap/>
            <w:vAlign w:val="center"/>
            <w:hideMark/>
          </w:tcPr>
          <w:p w:rsidR="00F6151D" w:rsidRPr="00F6151D" w:rsidRDefault="00F6151D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  <w:hideMark/>
          </w:tcPr>
          <w:p w:rsidR="00F6151D" w:rsidRPr="000E54F3" w:rsidRDefault="00F6151D" w:rsidP="00A37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смерть в результате несчастного случая;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6151D" w:rsidRPr="000E54F3" w:rsidRDefault="00F6151D" w:rsidP="00A37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151D" w:rsidRPr="000E54F3" w:rsidRDefault="00F6151D" w:rsidP="00BF7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6151D" w:rsidRPr="000E54F3" w:rsidRDefault="00F6151D" w:rsidP="00BF7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F6151D" w:rsidRPr="002C3E68" w:rsidTr="005119E9">
        <w:trPr>
          <w:trHeight w:val="699"/>
        </w:trPr>
        <w:tc>
          <w:tcPr>
            <w:tcW w:w="710" w:type="dxa"/>
            <w:vMerge/>
            <w:shd w:val="clear" w:color="auto" w:fill="auto"/>
            <w:noWrap/>
            <w:vAlign w:val="center"/>
            <w:hideMark/>
          </w:tcPr>
          <w:p w:rsidR="00F6151D" w:rsidRDefault="00F6151D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  <w:hideMark/>
          </w:tcPr>
          <w:p w:rsidR="00F6151D" w:rsidRPr="000E54F3" w:rsidRDefault="00F6151D" w:rsidP="00A37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6151D" w:rsidRPr="00CE1DBD" w:rsidRDefault="00F6151D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6151D" w:rsidRPr="000E54F3" w:rsidRDefault="00F6151D" w:rsidP="00BF7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6151D" w:rsidRPr="000E54F3" w:rsidRDefault="00F6151D" w:rsidP="00BF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E270A4" w:rsidRPr="002C3E68" w:rsidTr="005119E9">
        <w:trPr>
          <w:trHeight w:val="509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:rsidR="00E270A4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F554E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8" w:type="dxa"/>
            <w:vMerge w:val="restart"/>
            <w:shd w:val="clear" w:color="auto" w:fill="auto"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бщее количество оказанных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</w:t>
            </w:r>
            <w:r w:rsid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экспертизе промышленной безопасности </w:t>
            </w:r>
            <w:r w:rsidR="00B715E3" w:rsidRP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бурового оборудования и специальной техники на буровых площадках при строительстве скважин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(опыт работы) – не менее 3-х лет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последних трех лет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E270A4" w:rsidRPr="00DB24E8" w:rsidRDefault="00B715E3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  <w:r w:rsidR="00E270A4"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выполненных договоров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270A4" w:rsidRPr="002C3E68" w:rsidTr="005119E9">
        <w:trPr>
          <w:trHeight w:val="509"/>
        </w:trPr>
        <w:tc>
          <w:tcPr>
            <w:tcW w:w="710" w:type="dxa"/>
            <w:vMerge/>
            <w:vAlign w:val="center"/>
            <w:hideMark/>
          </w:tcPr>
          <w:p w:rsidR="00E270A4" w:rsidRPr="002C3E68" w:rsidRDefault="00E270A4" w:rsidP="00B7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vMerge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52A1" w:rsidRPr="002C3E68" w:rsidTr="005119E9">
        <w:trPr>
          <w:trHeight w:val="315"/>
        </w:trPr>
        <w:tc>
          <w:tcPr>
            <w:tcW w:w="710" w:type="dxa"/>
            <w:vAlign w:val="center"/>
            <w:hideMark/>
          </w:tcPr>
          <w:p w:rsidR="00A252A1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F554E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8" w:type="dxa"/>
            <w:vAlign w:val="center"/>
            <w:hideMark/>
          </w:tcPr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собственной (либо привлеченной по договору) аттестованной в соответствии с требованиями нормативных документов (ПБ 03-372-00) лаборатории неразрушающего контроля и диагностики, аттестованной на следующие виды неразрушающего контроля:</w:t>
            </w:r>
          </w:p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1. Визуальный и измерительный контроль;</w:t>
            </w:r>
          </w:p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2.Ультразвуковая дефектоскопия, </w:t>
            </w:r>
            <w:proofErr w:type="spellStart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толщинометрия</w:t>
            </w:r>
            <w:proofErr w:type="spellEnd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3.Радиационный метод</w:t>
            </w:r>
            <w:r w:rsidR="00CB08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рентгенографирование</w:t>
            </w:r>
            <w:proofErr w:type="spellEnd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Вибродиагностический</w:t>
            </w:r>
            <w:proofErr w:type="spellEnd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(Магнитопорошковый; Проникающими веществами).</w:t>
            </w:r>
          </w:p>
        </w:tc>
        <w:tc>
          <w:tcPr>
            <w:tcW w:w="2693" w:type="dxa"/>
            <w:vAlign w:val="center"/>
            <w:hideMark/>
          </w:tcPr>
          <w:p w:rsidR="00A252A1" w:rsidRPr="00DB24E8" w:rsidRDefault="00A252A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подтверждающих документов (копия свидетельства об аттестации ЛНК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либо копия договора на привлечение лаборатории 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неразрушающего контроля)</w:t>
            </w:r>
          </w:p>
        </w:tc>
        <w:tc>
          <w:tcPr>
            <w:tcW w:w="1418" w:type="dxa"/>
            <w:vAlign w:val="center"/>
            <w:hideMark/>
          </w:tcPr>
          <w:p w:rsidR="00A252A1" w:rsidRPr="002C3E68" w:rsidRDefault="00A252A1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  <w:hideMark/>
          </w:tcPr>
          <w:p w:rsidR="00A252A1" w:rsidRPr="002C3E68" w:rsidRDefault="00A252A1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270A4" w:rsidRPr="002C3E68" w:rsidTr="005119E9">
        <w:trPr>
          <w:trHeight w:val="1269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:rsidR="00E270A4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F554E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8" w:type="dxa"/>
            <w:vMerge w:val="restart"/>
            <w:shd w:val="clear" w:color="auto" w:fill="auto"/>
            <w:hideMark/>
          </w:tcPr>
          <w:p w:rsidR="002C4013" w:rsidRPr="00CE1DBD" w:rsidRDefault="00E270A4" w:rsidP="002C40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аличие в штате компании </w:t>
            </w: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экспертов третьей категории, с правом проведения экспертизы промышленной безопасности  в отношении ОПО  III и IV классов опасности и необходимых областей аттестации (в соответствии с перечнем оборудования подлежащим ЭПБ) согласно "Положения об аттестации экспертов в области ПБ", утвержденных постановлением правительства РФ №509 от 28.05.15 г. (обязательно Э4ТУ, Э4ЗС, Э6ТУ, Э12ТУ, Э14ТУ, Э14ЗС) (Э7ТУ, Э7ЗС -желательно), либо иных действующих документов РФ</w:t>
            </w:r>
            <w:r w:rsidR="00BA1D5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E1D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разрешающих оказание услуг по данному  виду деятельности.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E270A4" w:rsidRPr="000828B0" w:rsidRDefault="00E270A4" w:rsidP="002C40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56F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за подписью руководителя/ уполномоченного представителя, заверенные копии удостоверений</w:t>
            </w:r>
          </w:p>
          <w:p w:rsidR="00E270A4" w:rsidRPr="00CE1DBD" w:rsidRDefault="00E270A4" w:rsidP="002C40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56F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сведений в реестре экспертов, размещенном на официальном сайте Ростехнадзора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270A4" w:rsidRPr="002C3E68" w:rsidRDefault="00E270A4" w:rsidP="0025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E270A4" w:rsidRPr="002C3E68" w:rsidRDefault="00E270A4" w:rsidP="00252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270A4" w:rsidRPr="002C3E68" w:rsidTr="005119E9">
        <w:trPr>
          <w:trHeight w:val="1980"/>
        </w:trPr>
        <w:tc>
          <w:tcPr>
            <w:tcW w:w="710" w:type="dxa"/>
            <w:vMerge/>
            <w:vAlign w:val="center"/>
            <w:hideMark/>
          </w:tcPr>
          <w:p w:rsidR="00E270A4" w:rsidRPr="002C3E68" w:rsidRDefault="00E270A4" w:rsidP="00B7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vMerge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70A4" w:rsidRPr="002C3E68" w:rsidTr="005119E9">
        <w:trPr>
          <w:trHeight w:val="1980"/>
        </w:trPr>
        <w:tc>
          <w:tcPr>
            <w:tcW w:w="710" w:type="dxa"/>
            <w:vAlign w:val="center"/>
          </w:tcPr>
          <w:p w:rsidR="00E270A4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CF04F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8" w:type="dxa"/>
          </w:tcPr>
          <w:p w:rsidR="00E270A4" w:rsidRPr="00DB24E8" w:rsidRDefault="00E270A4" w:rsidP="00CF0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штате компании специалистов неразрушающего контроля (для которых работа в организации является основной) по следующим видам контроля:</w:t>
            </w:r>
          </w:p>
          <w:p w:rsidR="00E270A4" w:rsidRPr="00DB24E8" w:rsidRDefault="00E270A4" w:rsidP="00CF0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визуальный и измерительный;</w:t>
            </w:r>
          </w:p>
          <w:p w:rsidR="00E270A4" w:rsidRPr="00DB24E8" w:rsidRDefault="00E270A4" w:rsidP="00CF0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ультразвуковой</w:t>
            </w:r>
            <w:r w:rsidR="00A25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(дефектоскопия, </w:t>
            </w:r>
            <w:proofErr w:type="spellStart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толщинометрия</w:t>
            </w:r>
            <w:proofErr w:type="spellEnd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E270A4" w:rsidRPr="00DB24E8" w:rsidRDefault="00E270A4" w:rsidP="00CF0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рентгенографический (радиационный);</w:t>
            </w:r>
          </w:p>
          <w:p w:rsidR="00E270A4" w:rsidRPr="00DB24E8" w:rsidRDefault="00A252A1" w:rsidP="00CF04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вибродиагностический</w:t>
            </w:r>
            <w:proofErr w:type="spellEnd"/>
          </w:p>
        </w:tc>
        <w:tc>
          <w:tcPr>
            <w:tcW w:w="2693" w:type="dxa"/>
            <w:vAlign w:val="center"/>
          </w:tcPr>
          <w:p w:rsidR="00E270A4" w:rsidRPr="00DB24E8" w:rsidRDefault="00B01221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D0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vAlign w:val="center"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270A4" w:rsidRPr="002C3E68" w:rsidTr="005119E9">
        <w:trPr>
          <w:trHeight w:val="13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270A4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CF04F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8" w:type="dxa"/>
            <w:shd w:val="clear" w:color="auto" w:fill="auto"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собственных или арендованных </w:t>
            </w:r>
            <w:r w:rsidR="009F24B7">
              <w:rPr>
                <w:rFonts w:ascii="Times New Roman" w:eastAsia="Times New Roman" w:hAnsi="Times New Roman" w:cs="Times New Roman"/>
                <w:sz w:val="20"/>
                <w:szCs w:val="20"/>
              </w:rPr>
              <w:t>помещений (лабораторий)</w:t>
            </w:r>
            <w:r w:rsidR="00BA1D5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используемых при осуществлении экспертизы</w:t>
            </w:r>
            <w:r w:rsidR="00B715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</w:t>
            </w:r>
            <w:r w:rsidR="009F24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119E9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оборудования,</w:t>
            </w:r>
            <w:r w:rsidR="009F24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так и отдельных его частей.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документов, подтверждающих наличие на праве собственности необходимых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принадлежащих ему на праве собственности или на ином законном основании по месту осуществления лицензируемой деятельности зданий или нежилых помещений;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270A4" w:rsidRPr="002C3E68" w:rsidTr="005119E9">
        <w:trPr>
          <w:trHeight w:val="21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E270A4" w:rsidRPr="002C3E68" w:rsidRDefault="009F24B7" w:rsidP="00B71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CF04F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8" w:type="dxa"/>
            <w:shd w:val="clear" w:color="auto" w:fill="auto"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собственных исправных и поверенных приборов, паспортизированных эталонов и образцов, необходимых приспособлений, приборов (</w:t>
            </w:r>
            <w:proofErr w:type="spellStart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толщиномеры</w:t>
            </w:r>
            <w:proofErr w:type="spellEnd"/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дефектоскопы и прочее) и расходных материалов для </w:t>
            </w:r>
            <w:r w:rsidR="00BA1D5F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оказания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предмету Закупки.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270A4" w:rsidRPr="00DB24E8" w:rsidRDefault="00E270A4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оборудования, приборов, материалов и средств информационного обеспечения, необходимых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принадлежащих на праве собственности с указанием сроков поверки</w:t>
            </w:r>
            <w:r w:rsidR="00BD77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D7743" w:rsidRPr="00DB24E8">
              <w:rPr>
                <w:rFonts w:ascii="Times New Roman" w:eastAsia="Times New Roman" w:hAnsi="Times New Roman" w:cs="Times New Roman"/>
                <w:sz w:val="20"/>
                <w:szCs w:val="20"/>
              </w:rPr>
              <w:t>с печатью и подписью уполномоченного лица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70A4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C7799" w:rsidRPr="002C3E68" w:rsidRDefault="00E270A4" w:rsidP="00BF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E6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B00D6" w:rsidRPr="002C3E68" w:rsidTr="005119E9">
        <w:trPr>
          <w:trHeight w:val="58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B00D6" w:rsidRDefault="008B00D6" w:rsidP="00A8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_GoBack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CF04F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8" w:type="dxa"/>
            <w:shd w:val="clear" w:color="auto" w:fill="auto"/>
            <w:vAlign w:val="center"/>
            <w:hideMark/>
          </w:tcPr>
          <w:p w:rsidR="008B00D6" w:rsidRDefault="008B00D6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4B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Согласие </w:t>
            </w:r>
            <w:r w:rsidRPr="00BF14B7">
              <w:rPr>
                <w:rFonts w:ascii="Times New Roman" w:hAnsi="Times New Roman" w:cs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F14B7">
              <w:rPr>
                <w:rFonts w:ascii="Times New Roman" w:hAnsi="Times New Roman" w:cs="Times New Roman"/>
                <w:sz w:val="20"/>
                <w:szCs w:val="20"/>
              </w:rPr>
              <w:t>, любое территориальное подразделение Банка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B00D6" w:rsidRDefault="004423F3" w:rsidP="00A37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6D0">
              <w:rPr>
                <w:rFonts w:ascii="Times New Roman" w:hAnsi="Times New Roman"/>
                <w:sz w:val="20"/>
                <w:szCs w:val="20"/>
              </w:rPr>
              <w:t>Заполненная и подписанная форма 6т «Техническое предложение»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0D6" w:rsidRPr="002C3E68" w:rsidRDefault="008B00D6" w:rsidP="00A8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4B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B00D6" w:rsidRPr="002C3E68" w:rsidRDefault="008B00D6" w:rsidP="00A8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4B7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bookmarkEnd w:id="3"/>
    <w:p w:rsidR="00922CB4" w:rsidRPr="009529D0" w:rsidRDefault="00922CB4" w:rsidP="009529D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Приложения:</w:t>
      </w:r>
    </w:p>
    <w:p w:rsidR="00A3371A" w:rsidRDefault="00BF7903" w:rsidP="009529D0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к Форме </w:t>
      </w:r>
      <w:r w:rsidR="00A252A1" w:rsidRPr="0060101F">
        <w:rPr>
          <w:rFonts w:ascii="Times New Roman" w:eastAsia="Times New Roman" w:hAnsi="Times New Roman" w:cs="Times New Roman"/>
          <w:sz w:val="24"/>
          <w:szCs w:val="24"/>
        </w:rPr>
        <w:t>2 «</w:t>
      </w:r>
      <w:r w:rsidR="000828B0" w:rsidRPr="000828B0">
        <w:rPr>
          <w:rFonts w:ascii="Times New Roman" w:eastAsia="Times New Roman" w:hAnsi="Times New Roman" w:cs="Times New Roman"/>
          <w:sz w:val="24"/>
          <w:szCs w:val="24"/>
        </w:rPr>
        <w:t>Техническое задание на проведение ЭПБ в 202</w:t>
      </w:r>
      <w:r w:rsidR="003F121C">
        <w:rPr>
          <w:rFonts w:ascii="Times New Roman" w:eastAsia="Times New Roman" w:hAnsi="Times New Roman" w:cs="Times New Roman"/>
          <w:sz w:val="24"/>
          <w:szCs w:val="24"/>
        </w:rPr>
        <w:t>6</w:t>
      </w:r>
      <w:r w:rsidR="000828B0" w:rsidRPr="000828B0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3F121C">
        <w:rPr>
          <w:rFonts w:ascii="Times New Roman" w:eastAsia="Times New Roman" w:hAnsi="Times New Roman" w:cs="Times New Roman"/>
          <w:sz w:val="24"/>
          <w:szCs w:val="24"/>
        </w:rPr>
        <w:t>8</w:t>
      </w:r>
      <w:r w:rsidR="000828B0" w:rsidRPr="000828B0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930C6A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A252A1" w:rsidRPr="0060101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119E9" w:rsidRPr="009529D0" w:rsidRDefault="005119E9" w:rsidP="005119E9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71A" w:rsidRPr="006C0F4E" w:rsidRDefault="00A3371A" w:rsidP="00B715E3">
      <w:pPr>
        <w:pStyle w:val="ConsPlusNormal"/>
        <w:widowControl/>
        <w:ind w:firstLine="0"/>
        <w:jc w:val="both"/>
      </w:pPr>
    </w:p>
    <w:tbl>
      <w:tblPr>
        <w:tblpPr w:leftFromText="180" w:rightFromText="180" w:vertAnchor="text" w:horzAnchor="margin" w:tblpY="-180"/>
        <w:tblOverlap w:val="never"/>
        <w:tblW w:w="10462" w:type="dxa"/>
        <w:tblLayout w:type="fixed"/>
        <w:tblLook w:val="04A0" w:firstRow="1" w:lastRow="0" w:firstColumn="1" w:lastColumn="0" w:noHBand="0" w:noVBand="1"/>
      </w:tblPr>
      <w:tblGrid>
        <w:gridCol w:w="4966"/>
        <w:gridCol w:w="237"/>
        <w:gridCol w:w="2087"/>
        <w:gridCol w:w="237"/>
        <w:gridCol w:w="2935"/>
      </w:tblGrid>
      <w:tr w:rsidR="00A05289" w:rsidRPr="006C4E02" w:rsidTr="009529D0">
        <w:trPr>
          <w:trHeight w:val="456"/>
        </w:trPr>
        <w:tc>
          <w:tcPr>
            <w:tcW w:w="4966" w:type="dxa"/>
            <w:shd w:val="clear" w:color="auto" w:fill="auto"/>
            <w:vAlign w:val="bottom"/>
          </w:tcPr>
          <w:p w:rsidR="00A05289" w:rsidRPr="006C4E02" w:rsidRDefault="00A05289" w:rsidP="00B715E3">
            <w:pPr>
              <w:pStyle w:val="ConsPlusNormal"/>
              <w:widowControl/>
              <w:ind w:firstLine="0"/>
              <w:jc w:val="both"/>
            </w:pPr>
            <w:r w:rsidRPr="006C4E02">
              <w:t>Руководитель Ответственного подразделения:</w:t>
            </w:r>
          </w:p>
          <w:p w:rsidR="00A05289" w:rsidRDefault="008B00D6" w:rsidP="00B715E3">
            <w:pPr>
              <w:pStyle w:val="ConsPlusNormal"/>
              <w:widowControl/>
              <w:ind w:firstLine="0"/>
            </w:pPr>
            <w:r>
              <w:t>Г</w:t>
            </w:r>
            <w:r w:rsidR="009529D0" w:rsidRPr="009529D0">
              <w:t>лавн</w:t>
            </w:r>
            <w:r>
              <w:t>ый</w:t>
            </w:r>
            <w:r w:rsidR="009529D0" w:rsidRPr="009529D0">
              <w:t xml:space="preserve"> механик</w:t>
            </w:r>
          </w:p>
          <w:p w:rsidR="009529D0" w:rsidRPr="006C4E02" w:rsidRDefault="009529D0" w:rsidP="00B715E3">
            <w:pPr>
              <w:pStyle w:val="ConsPlusNormal"/>
              <w:widowControl/>
              <w:ind w:firstLine="0"/>
              <w:rPr>
                <w:i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:rsidR="00A05289" w:rsidRPr="006C4E02" w:rsidRDefault="00A05289" w:rsidP="00B715E3">
            <w:pPr>
              <w:pStyle w:val="ConsPlusNormal"/>
              <w:widowControl/>
              <w:ind w:firstLine="0"/>
            </w:pPr>
          </w:p>
        </w:tc>
        <w:tc>
          <w:tcPr>
            <w:tcW w:w="2087" w:type="dxa"/>
            <w:shd w:val="clear" w:color="auto" w:fill="auto"/>
            <w:vAlign w:val="center"/>
          </w:tcPr>
          <w:p w:rsidR="009529D0" w:rsidRDefault="009529D0" w:rsidP="009529D0">
            <w:pPr>
              <w:pStyle w:val="ConsPlusNormal"/>
              <w:widowControl/>
              <w:ind w:firstLine="0"/>
              <w:jc w:val="right"/>
            </w:pPr>
          </w:p>
          <w:p w:rsidR="009529D0" w:rsidRPr="006C4E02" w:rsidRDefault="009529D0" w:rsidP="009529D0">
            <w:pPr>
              <w:pStyle w:val="ConsPlusNormal"/>
              <w:widowControl/>
              <w:ind w:firstLine="0"/>
              <w:jc w:val="right"/>
            </w:pPr>
            <w:r>
              <w:t xml:space="preserve"> </w:t>
            </w:r>
            <w:r w:rsidR="008B00D6">
              <w:t>Бондарь И.И.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A05289" w:rsidRPr="006C4E02" w:rsidRDefault="00A05289" w:rsidP="00B715E3">
            <w:pPr>
              <w:pStyle w:val="ConsPlusNormal"/>
              <w:widowControl/>
              <w:ind w:firstLine="0"/>
            </w:pPr>
          </w:p>
        </w:tc>
        <w:tc>
          <w:tcPr>
            <w:tcW w:w="2935" w:type="dxa"/>
            <w:shd w:val="clear" w:color="auto" w:fill="auto"/>
            <w:vAlign w:val="bottom"/>
          </w:tcPr>
          <w:p w:rsidR="009529D0" w:rsidRDefault="009529D0" w:rsidP="009529D0">
            <w:pPr>
              <w:pStyle w:val="ConsPlusNormal"/>
              <w:widowControl/>
              <w:ind w:firstLine="0"/>
              <w:rPr>
                <w:i/>
                <w:iCs/>
                <w:u w:val="single"/>
              </w:rPr>
            </w:pPr>
          </w:p>
          <w:p w:rsidR="009529D0" w:rsidRDefault="009529D0" w:rsidP="009529D0">
            <w:pPr>
              <w:pStyle w:val="ConsPlusNormal"/>
              <w:widowControl/>
              <w:ind w:firstLine="0"/>
              <w:rPr>
                <w:i/>
                <w:iCs/>
                <w:u w:val="single"/>
              </w:rPr>
            </w:pPr>
          </w:p>
          <w:p w:rsidR="00A05289" w:rsidRDefault="009529D0" w:rsidP="009529D0">
            <w:pPr>
              <w:pStyle w:val="ConsPlusNormal"/>
              <w:widowControl/>
              <w:ind w:firstLine="0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 </w:t>
            </w:r>
            <w:r w:rsidR="00080288">
              <w:rPr>
                <w:i/>
                <w:iCs/>
                <w:u w:val="single"/>
              </w:rPr>
              <w:t>«24</w:t>
            </w:r>
            <w:r w:rsidR="00A05289" w:rsidRPr="009529D0">
              <w:rPr>
                <w:i/>
                <w:iCs/>
                <w:u w:val="single"/>
              </w:rPr>
              <w:t>»</w:t>
            </w:r>
            <w:r w:rsidR="00080288">
              <w:rPr>
                <w:i/>
                <w:iCs/>
                <w:u w:val="single"/>
              </w:rPr>
              <w:t xml:space="preserve"> </w:t>
            </w:r>
            <w:r w:rsidR="00B15516">
              <w:rPr>
                <w:i/>
                <w:iCs/>
                <w:u w:val="single"/>
              </w:rPr>
              <w:t>сентября</w:t>
            </w:r>
            <w:r w:rsidRPr="009529D0">
              <w:rPr>
                <w:i/>
                <w:iCs/>
                <w:u w:val="single"/>
              </w:rPr>
              <w:t xml:space="preserve"> </w:t>
            </w:r>
            <w:r w:rsidR="001F6390" w:rsidRPr="009529D0">
              <w:rPr>
                <w:i/>
                <w:iCs/>
                <w:u w:val="single"/>
              </w:rPr>
              <w:t>202</w:t>
            </w:r>
            <w:r w:rsidR="00010DA7">
              <w:rPr>
                <w:i/>
                <w:iCs/>
                <w:u w:val="single"/>
              </w:rPr>
              <w:t>5</w:t>
            </w:r>
            <w:r w:rsidR="00A05289" w:rsidRPr="009529D0">
              <w:rPr>
                <w:i/>
                <w:iCs/>
                <w:u w:val="single"/>
              </w:rPr>
              <w:t xml:space="preserve"> г.</w:t>
            </w:r>
          </w:p>
          <w:p w:rsidR="009529D0" w:rsidRPr="006C4E02" w:rsidRDefault="009529D0" w:rsidP="009529D0">
            <w:pPr>
              <w:pStyle w:val="ConsPlusNormal"/>
              <w:widowControl/>
              <w:ind w:firstLine="0"/>
            </w:pPr>
          </w:p>
        </w:tc>
      </w:tr>
    </w:tbl>
    <w:p w:rsidR="00A3371A" w:rsidRPr="006C0F4E" w:rsidRDefault="00A3371A" w:rsidP="00B715E3">
      <w:pPr>
        <w:spacing w:after="0" w:line="240" w:lineRule="auto"/>
        <w:rPr>
          <w:rFonts w:ascii="Times New Roman" w:hAnsi="Times New Roman" w:cs="Times New Roman"/>
        </w:rPr>
      </w:pPr>
    </w:p>
    <w:sectPr w:rsidR="00A3371A" w:rsidRPr="006C0F4E" w:rsidSect="00BF790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FBF" w:rsidRDefault="00BE7FBF" w:rsidP="00B94E8A">
      <w:pPr>
        <w:spacing w:after="0" w:line="240" w:lineRule="auto"/>
      </w:pPr>
      <w:r>
        <w:separator/>
      </w:r>
    </w:p>
  </w:endnote>
  <w:endnote w:type="continuationSeparator" w:id="0">
    <w:p w:rsidR="00BE7FBF" w:rsidRDefault="00BE7FBF" w:rsidP="00B9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FBF" w:rsidRDefault="00BE7FBF" w:rsidP="00B94E8A">
      <w:pPr>
        <w:spacing w:after="0" w:line="240" w:lineRule="auto"/>
      </w:pPr>
      <w:r>
        <w:separator/>
      </w:r>
    </w:p>
  </w:footnote>
  <w:footnote w:type="continuationSeparator" w:id="0">
    <w:p w:rsidR="00BE7FBF" w:rsidRDefault="00BE7FBF" w:rsidP="00B94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5ACC"/>
    <w:multiLevelType w:val="hybridMultilevel"/>
    <w:tmpl w:val="42CCF03C"/>
    <w:lvl w:ilvl="0" w:tplc="699ACE1A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" w15:restartNumberingAfterBreak="0">
    <w:nsid w:val="0CFC480E"/>
    <w:multiLevelType w:val="hybridMultilevel"/>
    <w:tmpl w:val="0DE694DC"/>
    <w:lvl w:ilvl="0" w:tplc="98C40A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0D56BE"/>
    <w:multiLevelType w:val="hybridMultilevel"/>
    <w:tmpl w:val="009007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75232"/>
    <w:multiLevelType w:val="multilevel"/>
    <w:tmpl w:val="A5AAF2D6"/>
    <w:lvl w:ilvl="0">
      <w:start w:val="7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</w:rPr>
    </w:lvl>
  </w:abstractNum>
  <w:abstractNum w:abstractNumId="5" w15:restartNumberingAfterBreak="0">
    <w:nsid w:val="16E036EF"/>
    <w:multiLevelType w:val="hybridMultilevel"/>
    <w:tmpl w:val="43ACA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9F4"/>
    <w:multiLevelType w:val="hybridMultilevel"/>
    <w:tmpl w:val="2B4A16A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145D4"/>
    <w:multiLevelType w:val="hybridMultilevel"/>
    <w:tmpl w:val="9CA27C34"/>
    <w:lvl w:ilvl="0" w:tplc="277C26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82ADA"/>
    <w:multiLevelType w:val="hybridMultilevel"/>
    <w:tmpl w:val="6F3273F4"/>
    <w:lvl w:ilvl="0" w:tplc="041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0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2F470A3"/>
    <w:multiLevelType w:val="hybridMultilevel"/>
    <w:tmpl w:val="B75CEBF6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D11"/>
    <w:multiLevelType w:val="hybridMultilevel"/>
    <w:tmpl w:val="A5CCF5EC"/>
    <w:lvl w:ilvl="0" w:tplc="0A049C3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3714E"/>
    <w:multiLevelType w:val="multilevel"/>
    <w:tmpl w:val="634E237C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52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774AE"/>
    <w:multiLevelType w:val="hybridMultilevel"/>
    <w:tmpl w:val="0F0CAFEE"/>
    <w:lvl w:ilvl="0" w:tplc="D21E5C8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BC824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36C9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CD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1C2C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D85E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093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C00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C65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401EF1"/>
    <w:multiLevelType w:val="hybridMultilevel"/>
    <w:tmpl w:val="9364E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6C3840"/>
    <w:multiLevelType w:val="hybridMultilevel"/>
    <w:tmpl w:val="50EAA8EC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33924"/>
    <w:multiLevelType w:val="hybridMultilevel"/>
    <w:tmpl w:val="CDBE6A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 w15:restartNumberingAfterBreak="0">
    <w:nsid w:val="72DF2624"/>
    <w:multiLevelType w:val="hybridMultilevel"/>
    <w:tmpl w:val="FAC851E4"/>
    <w:lvl w:ilvl="0" w:tplc="20164EBA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963D0"/>
    <w:multiLevelType w:val="hybridMultilevel"/>
    <w:tmpl w:val="8B0E1DDA"/>
    <w:lvl w:ilvl="0" w:tplc="445497A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3602FF"/>
    <w:multiLevelType w:val="hybridMultilevel"/>
    <w:tmpl w:val="3F78556C"/>
    <w:lvl w:ilvl="0" w:tplc="E0107DD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8"/>
  </w:num>
  <w:num w:numId="4">
    <w:abstractNumId w:val="20"/>
  </w:num>
  <w:num w:numId="5">
    <w:abstractNumId w:val="21"/>
  </w:num>
  <w:num w:numId="6">
    <w:abstractNumId w:val="16"/>
  </w:num>
  <w:num w:numId="7">
    <w:abstractNumId w:val="4"/>
  </w:num>
  <w:num w:numId="8">
    <w:abstractNumId w:val="17"/>
  </w:num>
  <w:num w:numId="9">
    <w:abstractNumId w:val="1"/>
  </w:num>
  <w:num w:numId="10">
    <w:abstractNumId w:val="19"/>
  </w:num>
  <w:num w:numId="11">
    <w:abstractNumId w:val="9"/>
  </w:num>
  <w:num w:numId="12">
    <w:abstractNumId w:val="8"/>
  </w:num>
  <w:num w:numId="13">
    <w:abstractNumId w:val="12"/>
  </w:num>
  <w:num w:numId="14">
    <w:abstractNumId w:val="11"/>
  </w:num>
  <w:num w:numId="15">
    <w:abstractNumId w:val="10"/>
  </w:num>
  <w:num w:numId="16">
    <w:abstractNumId w:val="2"/>
  </w:num>
  <w:num w:numId="17">
    <w:abstractNumId w:val="23"/>
  </w:num>
  <w:num w:numId="18">
    <w:abstractNumId w:val="6"/>
  </w:num>
  <w:num w:numId="19">
    <w:abstractNumId w:val="14"/>
  </w:num>
  <w:num w:numId="20">
    <w:abstractNumId w:val="24"/>
  </w:num>
  <w:num w:numId="21">
    <w:abstractNumId w:val="7"/>
  </w:num>
  <w:num w:numId="22">
    <w:abstractNumId w:val="5"/>
  </w:num>
  <w:num w:numId="23">
    <w:abstractNumId w:val="15"/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8F9"/>
    <w:rsid w:val="000022A6"/>
    <w:rsid w:val="0000717C"/>
    <w:rsid w:val="0001008D"/>
    <w:rsid w:val="00010DA7"/>
    <w:rsid w:val="00012076"/>
    <w:rsid w:val="00033D48"/>
    <w:rsid w:val="00035293"/>
    <w:rsid w:val="00035DC3"/>
    <w:rsid w:val="000439CE"/>
    <w:rsid w:val="00044582"/>
    <w:rsid w:val="00047B6B"/>
    <w:rsid w:val="000515C7"/>
    <w:rsid w:val="00057508"/>
    <w:rsid w:val="00063848"/>
    <w:rsid w:val="00064198"/>
    <w:rsid w:val="00073D67"/>
    <w:rsid w:val="000769E7"/>
    <w:rsid w:val="00080288"/>
    <w:rsid w:val="000828B0"/>
    <w:rsid w:val="00091789"/>
    <w:rsid w:val="000A626F"/>
    <w:rsid w:val="000A6303"/>
    <w:rsid w:val="000A796C"/>
    <w:rsid w:val="000B3714"/>
    <w:rsid w:val="000B6381"/>
    <w:rsid w:val="000C1ACD"/>
    <w:rsid w:val="000C340A"/>
    <w:rsid w:val="000D1B7F"/>
    <w:rsid w:val="000D41D6"/>
    <w:rsid w:val="000D4A1C"/>
    <w:rsid w:val="000D79C2"/>
    <w:rsid w:val="000F1235"/>
    <w:rsid w:val="000F3486"/>
    <w:rsid w:val="000F4816"/>
    <w:rsid w:val="0010142A"/>
    <w:rsid w:val="001061BA"/>
    <w:rsid w:val="00111550"/>
    <w:rsid w:val="00117F57"/>
    <w:rsid w:val="001213DF"/>
    <w:rsid w:val="0012351D"/>
    <w:rsid w:val="001407B4"/>
    <w:rsid w:val="00150A74"/>
    <w:rsid w:val="001512B6"/>
    <w:rsid w:val="00171FB8"/>
    <w:rsid w:val="0018025E"/>
    <w:rsid w:val="00180961"/>
    <w:rsid w:val="00191021"/>
    <w:rsid w:val="00192983"/>
    <w:rsid w:val="0019552D"/>
    <w:rsid w:val="001A344A"/>
    <w:rsid w:val="001A58FA"/>
    <w:rsid w:val="001B0E7C"/>
    <w:rsid w:val="001B1588"/>
    <w:rsid w:val="001B2AB2"/>
    <w:rsid w:val="001B643A"/>
    <w:rsid w:val="001B7CF7"/>
    <w:rsid w:val="001C0742"/>
    <w:rsid w:val="001C1606"/>
    <w:rsid w:val="001C19EB"/>
    <w:rsid w:val="001C6BD5"/>
    <w:rsid w:val="001D2370"/>
    <w:rsid w:val="001D53C5"/>
    <w:rsid w:val="001E0549"/>
    <w:rsid w:val="001E5EF0"/>
    <w:rsid w:val="001F44F9"/>
    <w:rsid w:val="001F6390"/>
    <w:rsid w:val="002002C3"/>
    <w:rsid w:val="00203430"/>
    <w:rsid w:val="002104D8"/>
    <w:rsid w:val="00212F6D"/>
    <w:rsid w:val="002131B8"/>
    <w:rsid w:val="0021487B"/>
    <w:rsid w:val="00215AE1"/>
    <w:rsid w:val="00215FA1"/>
    <w:rsid w:val="0022667C"/>
    <w:rsid w:val="00226FC0"/>
    <w:rsid w:val="00231E7F"/>
    <w:rsid w:val="002324C8"/>
    <w:rsid w:val="002346EB"/>
    <w:rsid w:val="002363EB"/>
    <w:rsid w:val="002366B1"/>
    <w:rsid w:val="00244F60"/>
    <w:rsid w:val="0024576D"/>
    <w:rsid w:val="00252681"/>
    <w:rsid w:val="00253D29"/>
    <w:rsid w:val="00261F2F"/>
    <w:rsid w:val="002629E4"/>
    <w:rsid w:val="002635E8"/>
    <w:rsid w:val="0027029A"/>
    <w:rsid w:val="00271A4F"/>
    <w:rsid w:val="00276D0F"/>
    <w:rsid w:val="00277AFE"/>
    <w:rsid w:val="002802E4"/>
    <w:rsid w:val="002933EE"/>
    <w:rsid w:val="002A7A3D"/>
    <w:rsid w:val="002B671F"/>
    <w:rsid w:val="002C3E68"/>
    <w:rsid w:val="002C4013"/>
    <w:rsid w:val="002C48A2"/>
    <w:rsid w:val="002E07BB"/>
    <w:rsid w:val="002E15B2"/>
    <w:rsid w:val="002F099F"/>
    <w:rsid w:val="002F14D3"/>
    <w:rsid w:val="002F5F26"/>
    <w:rsid w:val="002F777F"/>
    <w:rsid w:val="00315ED9"/>
    <w:rsid w:val="00316911"/>
    <w:rsid w:val="0033499C"/>
    <w:rsid w:val="003402C5"/>
    <w:rsid w:val="00344BA5"/>
    <w:rsid w:val="003560AD"/>
    <w:rsid w:val="0036061E"/>
    <w:rsid w:val="00361FAD"/>
    <w:rsid w:val="00362AA0"/>
    <w:rsid w:val="003818F1"/>
    <w:rsid w:val="0038227B"/>
    <w:rsid w:val="00391BD5"/>
    <w:rsid w:val="003A7E8C"/>
    <w:rsid w:val="003B46C3"/>
    <w:rsid w:val="003D0081"/>
    <w:rsid w:val="003F02FF"/>
    <w:rsid w:val="003F121C"/>
    <w:rsid w:val="003F331F"/>
    <w:rsid w:val="003F74AA"/>
    <w:rsid w:val="004009BB"/>
    <w:rsid w:val="00400C21"/>
    <w:rsid w:val="004027DC"/>
    <w:rsid w:val="00405A9F"/>
    <w:rsid w:val="0040619E"/>
    <w:rsid w:val="00407037"/>
    <w:rsid w:val="004110D6"/>
    <w:rsid w:val="00411172"/>
    <w:rsid w:val="00412040"/>
    <w:rsid w:val="004125E2"/>
    <w:rsid w:val="00432632"/>
    <w:rsid w:val="0044155C"/>
    <w:rsid w:val="004423F3"/>
    <w:rsid w:val="00443F13"/>
    <w:rsid w:val="00450B63"/>
    <w:rsid w:val="00455360"/>
    <w:rsid w:val="00455A89"/>
    <w:rsid w:val="00474D98"/>
    <w:rsid w:val="00476222"/>
    <w:rsid w:val="00480ED9"/>
    <w:rsid w:val="004833BA"/>
    <w:rsid w:val="00484D24"/>
    <w:rsid w:val="00494024"/>
    <w:rsid w:val="00496A7D"/>
    <w:rsid w:val="004972C8"/>
    <w:rsid w:val="004A52A4"/>
    <w:rsid w:val="004B0099"/>
    <w:rsid w:val="004B57B0"/>
    <w:rsid w:val="004C4D97"/>
    <w:rsid w:val="004C5881"/>
    <w:rsid w:val="004C6D44"/>
    <w:rsid w:val="004D375E"/>
    <w:rsid w:val="004D5472"/>
    <w:rsid w:val="004F09C7"/>
    <w:rsid w:val="00502ECB"/>
    <w:rsid w:val="00510B8C"/>
    <w:rsid w:val="005119E9"/>
    <w:rsid w:val="00513E83"/>
    <w:rsid w:val="00535C18"/>
    <w:rsid w:val="00547FB6"/>
    <w:rsid w:val="0055526B"/>
    <w:rsid w:val="00557C47"/>
    <w:rsid w:val="00560144"/>
    <w:rsid w:val="0056495F"/>
    <w:rsid w:val="00566036"/>
    <w:rsid w:val="005665D9"/>
    <w:rsid w:val="005666CF"/>
    <w:rsid w:val="0058745D"/>
    <w:rsid w:val="0059238C"/>
    <w:rsid w:val="005A39AC"/>
    <w:rsid w:val="005A4900"/>
    <w:rsid w:val="005A5448"/>
    <w:rsid w:val="005B5FCC"/>
    <w:rsid w:val="005D199C"/>
    <w:rsid w:val="005D3DE2"/>
    <w:rsid w:val="005E0B5D"/>
    <w:rsid w:val="005E1669"/>
    <w:rsid w:val="005E7FE1"/>
    <w:rsid w:val="005F1296"/>
    <w:rsid w:val="005F5CFE"/>
    <w:rsid w:val="005F6BE3"/>
    <w:rsid w:val="005F6CE8"/>
    <w:rsid w:val="005F6DAB"/>
    <w:rsid w:val="00601D46"/>
    <w:rsid w:val="006072B6"/>
    <w:rsid w:val="00621B1F"/>
    <w:rsid w:val="00623573"/>
    <w:rsid w:val="0062561E"/>
    <w:rsid w:val="006324BE"/>
    <w:rsid w:val="0065003F"/>
    <w:rsid w:val="00654805"/>
    <w:rsid w:val="0066032A"/>
    <w:rsid w:val="00660973"/>
    <w:rsid w:val="00662B00"/>
    <w:rsid w:val="00663AAC"/>
    <w:rsid w:val="00665955"/>
    <w:rsid w:val="00673E7F"/>
    <w:rsid w:val="00674E61"/>
    <w:rsid w:val="0067543B"/>
    <w:rsid w:val="0067676F"/>
    <w:rsid w:val="006869FA"/>
    <w:rsid w:val="00691D66"/>
    <w:rsid w:val="0069216E"/>
    <w:rsid w:val="006A3EE7"/>
    <w:rsid w:val="006B3B79"/>
    <w:rsid w:val="006C0F4E"/>
    <w:rsid w:val="006C319D"/>
    <w:rsid w:val="006D34C6"/>
    <w:rsid w:val="006E0B2B"/>
    <w:rsid w:val="006E3101"/>
    <w:rsid w:val="006F04B2"/>
    <w:rsid w:val="006F4ADD"/>
    <w:rsid w:val="007318C9"/>
    <w:rsid w:val="00732EFD"/>
    <w:rsid w:val="00744A6E"/>
    <w:rsid w:val="00745561"/>
    <w:rsid w:val="00750BDA"/>
    <w:rsid w:val="007526BC"/>
    <w:rsid w:val="0075291B"/>
    <w:rsid w:val="0075633F"/>
    <w:rsid w:val="007656E1"/>
    <w:rsid w:val="00772951"/>
    <w:rsid w:val="00775F67"/>
    <w:rsid w:val="007852F4"/>
    <w:rsid w:val="00785D67"/>
    <w:rsid w:val="00794875"/>
    <w:rsid w:val="00796730"/>
    <w:rsid w:val="00797140"/>
    <w:rsid w:val="007B4FAB"/>
    <w:rsid w:val="007B735F"/>
    <w:rsid w:val="007C225A"/>
    <w:rsid w:val="007C2A4A"/>
    <w:rsid w:val="007C508F"/>
    <w:rsid w:val="007D6921"/>
    <w:rsid w:val="007E4DDF"/>
    <w:rsid w:val="00815060"/>
    <w:rsid w:val="00821F0E"/>
    <w:rsid w:val="00826157"/>
    <w:rsid w:val="00832F48"/>
    <w:rsid w:val="00833240"/>
    <w:rsid w:val="00836060"/>
    <w:rsid w:val="00845FE4"/>
    <w:rsid w:val="008710F2"/>
    <w:rsid w:val="00873F9F"/>
    <w:rsid w:val="00874EE0"/>
    <w:rsid w:val="008A59F8"/>
    <w:rsid w:val="008B00D6"/>
    <w:rsid w:val="008B40D0"/>
    <w:rsid w:val="008B44DC"/>
    <w:rsid w:val="008B4978"/>
    <w:rsid w:val="008B7A4A"/>
    <w:rsid w:val="008C67CB"/>
    <w:rsid w:val="008D0FB9"/>
    <w:rsid w:val="008D3C89"/>
    <w:rsid w:val="008D5C47"/>
    <w:rsid w:val="008E282C"/>
    <w:rsid w:val="008F4022"/>
    <w:rsid w:val="008F5371"/>
    <w:rsid w:val="0090182D"/>
    <w:rsid w:val="00907123"/>
    <w:rsid w:val="00914582"/>
    <w:rsid w:val="00922CB4"/>
    <w:rsid w:val="00930C6A"/>
    <w:rsid w:val="00936698"/>
    <w:rsid w:val="00936B83"/>
    <w:rsid w:val="00945D10"/>
    <w:rsid w:val="009529D0"/>
    <w:rsid w:val="0095388C"/>
    <w:rsid w:val="009577DC"/>
    <w:rsid w:val="00966424"/>
    <w:rsid w:val="0097255D"/>
    <w:rsid w:val="00984292"/>
    <w:rsid w:val="00985EE3"/>
    <w:rsid w:val="00986CBB"/>
    <w:rsid w:val="009936B3"/>
    <w:rsid w:val="009A1C02"/>
    <w:rsid w:val="009A2AB4"/>
    <w:rsid w:val="009B141F"/>
    <w:rsid w:val="009B23A4"/>
    <w:rsid w:val="009C1ACC"/>
    <w:rsid w:val="009C205C"/>
    <w:rsid w:val="009C45C1"/>
    <w:rsid w:val="009C47B0"/>
    <w:rsid w:val="009C7B87"/>
    <w:rsid w:val="009D3BF0"/>
    <w:rsid w:val="009E47FC"/>
    <w:rsid w:val="009E49C8"/>
    <w:rsid w:val="009E533F"/>
    <w:rsid w:val="009E5C37"/>
    <w:rsid w:val="009E5E00"/>
    <w:rsid w:val="009F24B7"/>
    <w:rsid w:val="009F365F"/>
    <w:rsid w:val="009F4252"/>
    <w:rsid w:val="00A0292E"/>
    <w:rsid w:val="00A03131"/>
    <w:rsid w:val="00A05289"/>
    <w:rsid w:val="00A11670"/>
    <w:rsid w:val="00A14900"/>
    <w:rsid w:val="00A17744"/>
    <w:rsid w:val="00A252A1"/>
    <w:rsid w:val="00A32509"/>
    <w:rsid w:val="00A3371A"/>
    <w:rsid w:val="00A374DB"/>
    <w:rsid w:val="00A43E62"/>
    <w:rsid w:val="00A46534"/>
    <w:rsid w:val="00A505EF"/>
    <w:rsid w:val="00A61D1E"/>
    <w:rsid w:val="00A63EEB"/>
    <w:rsid w:val="00A648F8"/>
    <w:rsid w:val="00A67F0B"/>
    <w:rsid w:val="00A8095F"/>
    <w:rsid w:val="00A81B00"/>
    <w:rsid w:val="00AA1B8F"/>
    <w:rsid w:val="00AA3B9A"/>
    <w:rsid w:val="00AB2B64"/>
    <w:rsid w:val="00AC2D8B"/>
    <w:rsid w:val="00AD2EC2"/>
    <w:rsid w:val="00AD3F90"/>
    <w:rsid w:val="00AD74F4"/>
    <w:rsid w:val="00AE5977"/>
    <w:rsid w:val="00AF2AA2"/>
    <w:rsid w:val="00B01221"/>
    <w:rsid w:val="00B15516"/>
    <w:rsid w:val="00B158CC"/>
    <w:rsid w:val="00B23C66"/>
    <w:rsid w:val="00B51340"/>
    <w:rsid w:val="00B514FA"/>
    <w:rsid w:val="00B715E3"/>
    <w:rsid w:val="00B71978"/>
    <w:rsid w:val="00B91D1A"/>
    <w:rsid w:val="00B94E8A"/>
    <w:rsid w:val="00BA1D5F"/>
    <w:rsid w:val="00BA2074"/>
    <w:rsid w:val="00BA2BD6"/>
    <w:rsid w:val="00BB60DA"/>
    <w:rsid w:val="00BB6252"/>
    <w:rsid w:val="00BC16CA"/>
    <w:rsid w:val="00BC7799"/>
    <w:rsid w:val="00BD02B9"/>
    <w:rsid w:val="00BD4333"/>
    <w:rsid w:val="00BD510D"/>
    <w:rsid w:val="00BD68DD"/>
    <w:rsid w:val="00BD7743"/>
    <w:rsid w:val="00BE0D94"/>
    <w:rsid w:val="00BE7FBF"/>
    <w:rsid w:val="00BF1885"/>
    <w:rsid w:val="00BF4F57"/>
    <w:rsid w:val="00BF51AA"/>
    <w:rsid w:val="00BF7903"/>
    <w:rsid w:val="00C01DA7"/>
    <w:rsid w:val="00C02BC0"/>
    <w:rsid w:val="00C03F69"/>
    <w:rsid w:val="00C17E50"/>
    <w:rsid w:val="00C3698A"/>
    <w:rsid w:val="00C36FE9"/>
    <w:rsid w:val="00C4030D"/>
    <w:rsid w:val="00C57379"/>
    <w:rsid w:val="00C6407E"/>
    <w:rsid w:val="00C6418B"/>
    <w:rsid w:val="00C6578E"/>
    <w:rsid w:val="00C76DCC"/>
    <w:rsid w:val="00C76F61"/>
    <w:rsid w:val="00C83CEB"/>
    <w:rsid w:val="00C87474"/>
    <w:rsid w:val="00C93006"/>
    <w:rsid w:val="00CB0869"/>
    <w:rsid w:val="00CB27C9"/>
    <w:rsid w:val="00CB5729"/>
    <w:rsid w:val="00CC1BA1"/>
    <w:rsid w:val="00CC6580"/>
    <w:rsid w:val="00CD7A17"/>
    <w:rsid w:val="00CE1DBD"/>
    <w:rsid w:val="00CF04FB"/>
    <w:rsid w:val="00CF598F"/>
    <w:rsid w:val="00D0174D"/>
    <w:rsid w:val="00D01A83"/>
    <w:rsid w:val="00D1004A"/>
    <w:rsid w:val="00D16681"/>
    <w:rsid w:val="00D22001"/>
    <w:rsid w:val="00D26056"/>
    <w:rsid w:val="00D35822"/>
    <w:rsid w:val="00D37B52"/>
    <w:rsid w:val="00D56822"/>
    <w:rsid w:val="00D57D2C"/>
    <w:rsid w:val="00D67E26"/>
    <w:rsid w:val="00D74B77"/>
    <w:rsid w:val="00D75A11"/>
    <w:rsid w:val="00D76F83"/>
    <w:rsid w:val="00D8574E"/>
    <w:rsid w:val="00D86C33"/>
    <w:rsid w:val="00D91469"/>
    <w:rsid w:val="00D92BA0"/>
    <w:rsid w:val="00D96E65"/>
    <w:rsid w:val="00D979C6"/>
    <w:rsid w:val="00DA5471"/>
    <w:rsid w:val="00DB1397"/>
    <w:rsid w:val="00DB24E8"/>
    <w:rsid w:val="00DC709A"/>
    <w:rsid w:val="00DD02F7"/>
    <w:rsid w:val="00DD4FB9"/>
    <w:rsid w:val="00DD5585"/>
    <w:rsid w:val="00DE1795"/>
    <w:rsid w:val="00DE45B2"/>
    <w:rsid w:val="00DE6BE0"/>
    <w:rsid w:val="00DF1B80"/>
    <w:rsid w:val="00DF67D1"/>
    <w:rsid w:val="00E04A81"/>
    <w:rsid w:val="00E16C70"/>
    <w:rsid w:val="00E22C64"/>
    <w:rsid w:val="00E24EFA"/>
    <w:rsid w:val="00E270A4"/>
    <w:rsid w:val="00E34401"/>
    <w:rsid w:val="00E35611"/>
    <w:rsid w:val="00E41C07"/>
    <w:rsid w:val="00E437B5"/>
    <w:rsid w:val="00E4562E"/>
    <w:rsid w:val="00E46546"/>
    <w:rsid w:val="00E56497"/>
    <w:rsid w:val="00E607B2"/>
    <w:rsid w:val="00E6600C"/>
    <w:rsid w:val="00E67BA5"/>
    <w:rsid w:val="00E72038"/>
    <w:rsid w:val="00E7339F"/>
    <w:rsid w:val="00E752F5"/>
    <w:rsid w:val="00E768D3"/>
    <w:rsid w:val="00E840DD"/>
    <w:rsid w:val="00E877EC"/>
    <w:rsid w:val="00E907B9"/>
    <w:rsid w:val="00E9755D"/>
    <w:rsid w:val="00EA7501"/>
    <w:rsid w:val="00EB35EB"/>
    <w:rsid w:val="00EB637C"/>
    <w:rsid w:val="00EC03C5"/>
    <w:rsid w:val="00EC5A4D"/>
    <w:rsid w:val="00EC6FA5"/>
    <w:rsid w:val="00ED522E"/>
    <w:rsid w:val="00ED689A"/>
    <w:rsid w:val="00ED7270"/>
    <w:rsid w:val="00ED7A5B"/>
    <w:rsid w:val="00EE01F3"/>
    <w:rsid w:val="00EE121C"/>
    <w:rsid w:val="00EE1A01"/>
    <w:rsid w:val="00EE3F51"/>
    <w:rsid w:val="00EE4CDA"/>
    <w:rsid w:val="00EE4FD9"/>
    <w:rsid w:val="00F0034B"/>
    <w:rsid w:val="00F06E03"/>
    <w:rsid w:val="00F123D5"/>
    <w:rsid w:val="00F128E8"/>
    <w:rsid w:val="00F16D65"/>
    <w:rsid w:val="00F248F9"/>
    <w:rsid w:val="00F26328"/>
    <w:rsid w:val="00F36BFF"/>
    <w:rsid w:val="00F402E2"/>
    <w:rsid w:val="00F508B4"/>
    <w:rsid w:val="00F517DC"/>
    <w:rsid w:val="00F53131"/>
    <w:rsid w:val="00F554EA"/>
    <w:rsid w:val="00F556AD"/>
    <w:rsid w:val="00F55D37"/>
    <w:rsid w:val="00F6151D"/>
    <w:rsid w:val="00F615B5"/>
    <w:rsid w:val="00F700C9"/>
    <w:rsid w:val="00F821FA"/>
    <w:rsid w:val="00F84849"/>
    <w:rsid w:val="00F85F38"/>
    <w:rsid w:val="00F8768E"/>
    <w:rsid w:val="00F9187E"/>
    <w:rsid w:val="00F95FE2"/>
    <w:rsid w:val="00F96350"/>
    <w:rsid w:val="00FB49F9"/>
    <w:rsid w:val="00FB5529"/>
    <w:rsid w:val="00FB5866"/>
    <w:rsid w:val="00FB5DBB"/>
    <w:rsid w:val="00FB667B"/>
    <w:rsid w:val="00FC111A"/>
    <w:rsid w:val="00FC6CF1"/>
    <w:rsid w:val="00FD729B"/>
    <w:rsid w:val="00FE12A0"/>
    <w:rsid w:val="00FE27EE"/>
    <w:rsid w:val="00FE633A"/>
    <w:rsid w:val="00FE6FEB"/>
    <w:rsid w:val="00FE70E4"/>
    <w:rsid w:val="00FE7B77"/>
    <w:rsid w:val="00FF0CED"/>
    <w:rsid w:val="00FF394A"/>
    <w:rsid w:val="00FF5D4D"/>
    <w:rsid w:val="00FF7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1EC7"/>
  <w15:docId w15:val="{855B3720-8865-45A2-8DF5-F8F2FC1D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5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1"/>
    <w:pPr>
      <w:ind w:left="720"/>
      <w:contextualSpacing/>
    </w:pPr>
  </w:style>
  <w:style w:type="paragraph" w:styleId="a4">
    <w:name w:val="Title"/>
    <w:basedOn w:val="a"/>
    <w:link w:val="a5"/>
    <w:qFormat/>
    <w:rsid w:val="00D01A83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5">
    <w:name w:val="Заголовок Знак"/>
    <w:basedOn w:val="a0"/>
    <w:link w:val="a4"/>
    <w:rsid w:val="00D01A83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D01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F8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8B7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8B7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rsid w:val="008B7A4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B7A4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8B7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8B7A4A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uiPriority w:val="1"/>
    <w:qFormat/>
    <w:rsid w:val="009E5E00"/>
    <w:pPr>
      <w:spacing w:after="0" w:line="240" w:lineRule="auto"/>
    </w:pPr>
  </w:style>
  <w:style w:type="table" w:styleId="af">
    <w:name w:val="Table Grid"/>
    <w:basedOn w:val="a1"/>
    <w:uiPriority w:val="59"/>
    <w:rsid w:val="003818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660973"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CE1DB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E1DB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E1DB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E1DB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E1DBD"/>
    <w:rPr>
      <w:b/>
      <w:bCs/>
      <w:sz w:val="20"/>
      <w:szCs w:val="20"/>
    </w:rPr>
  </w:style>
  <w:style w:type="paragraph" w:styleId="af6">
    <w:name w:val="footnote text"/>
    <w:basedOn w:val="a"/>
    <w:link w:val="af7"/>
    <w:uiPriority w:val="99"/>
    <w:unhideWhenUsed/>
    <w:rsid w:val="00B94E8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rsid w:val="00B94E8A"/>
    <w:rPr>
      <w:rFonts w:eastAsiaTheme="minorHAnsi"/>
      <w:sz w:val="20"/>
      <w:szCs w:val="20"/>
      <w:lang w:eastAsia="en-US"/>
    </w:rPr>
  </w:style>
  <w:style w:type="character" w:styleId="af8">
    <w:name w:val="footnote reference"/>
    <w:basedOn w:val="a0"/>
    <w:uiPriority w:val="99"/>
    <w:unhideWhenUsed/>
    <w:rsid w:val="00B94E8A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FB667B"/>
  </w:style>
  <w:style w:type="numbering" w:customStyle="1" w:styleId="2">
    <w:name w:val="Нет списка2"/>
    <w:next w:val="a2"/>
    <w:uiPriority w:val="99"/>
    <w:semiHidden/>
    <w:unhideWhenUsed/>
    <w:rsid w:val="000D4A1C"/>
  </w:style>
  <w:style w:type="table" w:customStyle="1" w:styleId="10">
    <w:name w:val="Сетка таблицы1"/>
    <w:basedOn w:val="a1"/>
    <w:next w:val="af"/>
    <w:rsid w:val="000D4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er"/>
    <w:basedOn w:val="a"/>
    <w:link w:val="afa"/>
    <w:uiPriority w:val="99"/>
    <w:semiHidden/>
    <w:unhideWhenUsed/>
    <w:rsid w:val="000D4A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semiHidden/>
    <w:rsid w:val="000D4A1C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basedOn w:val="a0"/>
    <w:uiPriority w:val="22"/>
    <w:qFormat/>
    <w:rsid w:val="000D4A1C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7852F4"/>
  </w:style>
  <w:style w:type="table" w:customStyle="1" w:styleId="20">
    <w:name w:val="Сетка таблицы2"/>
    <w:basedOn w:val="a1"/>
    <w:next w:val="af"/>
    <w:rsid w:val="00785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E24EFA"/>
  </w:style>
  <w:style w:type="numbering" w:customStyle="1" w:styleId="5">
    <w:name w:val="Нет списка5"/>
    <w:next w:val="a2"/>
    <w:uiPriority w:val="99"/>
    <w:semiHidden/>
    <w:unhideWhenUsed/>
    <w:rsid w:val="00873F9F"/>
  </w:style>
  <w:style w:type="table" w:customStyle="1" w:styleId="30">
    <w:name w:val="Сетка таблицы3"/>
    <w:basedOn w:val="a1"/>
    <w:next w:val="af"/>
    <w:rsid w:val="00873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36360F714F0D445CB78614E58D115637A383C09CEC4960DD57E50A79269526B7B8A79E5y76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F02E-47F0-4CD4-8FD4-9FF399ED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63</cp:revision>
  <cp:lastPrinted>2025-09-23T07:44:00Z</cp:lastPrinted>
  <dcterms:created xsi:type="dcterms:W3CDTF">2021-10-14T09:01:00Z</dcterms:created>
  <dcterms:modified xsi:type="dcterms:W3CDTF">2025-10-07T08:56:00Z</dcterms:modified>
</cp:coreProperties>
</file>